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7F41E2" w14:textId="77777777" w:rsidR="00246957" w:rsidRPr="00543D14" w:rsidRDefault="00606AD5" w:rsidP="00F24942">
      <w:pPr>
        <w:pStyle w:val="BodyText"/>
        <w:rPr>
          <w:rFonts w:ascii="Times New Roman"/>
          <w:sz w:val="20"/>
          <w:lang w:val="en-GB"/>
        </w:rPr>
      </w:pPr>
      <w:r w:rsidRPr="00543D14">
        <w:rPr>
          <w:rFonts w:ascii="Times New Roman"/>
          <w:noProof/>
          <w:sz w:val="20"/>
          <w:lang w:val="en-GB" w:eastAsia="en-GB"/>
        </w:rPr>
        <w:drawing>
          <wp:inline distT="0" distB="0" distL="0" distR="0" wp14:anchorId="4A551CD1" wp14:editId="309E9E94">
            <wp:extent cx="1847461" cy="613410"/>
            <wp:effectExtent l="0" t="0" r="6985" b="0"/>
            <wp:docPr id="1" name="image1.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rotWithShape="1">
                    <a:blip r:embed="rId7" cstate="print">
                      <a:extLst>
                        <a:ext uri="{28A0092B-C50C-407E-A947-70E740481C1C}">
                          <a14:useLocalDpi xmlns:a14="http://schemas.microsoft.com/office/drawing/2010/main"/>
                        </a:ext>
                      </a:extLst>
                    </a:blip>
                    <a:srcRect/>
                    <a:stretch/>
                  </pic:blipFill>
                  <pic:spPr bwMode="auto">
                    <a:xfrm>
                      <a:off x="0" y="0"/>
                      <a:ext cx="1848946" cy="613903"/>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inline>
        </w:drawing>
      </w:r>
    </w:p>
    <w:p w14:paraId="390F7ED4" w14:textId="77777777" w:rsidR="00246957" w:rsidRPr="00543D14" w:rsidRDefault="00246957" w:rsidP="00F24942">
      <w:pPr>
        <w:pStyle w:val="BodyText"/>
        <w:spacing w:before="1"/>
        <w:rPr>
          <w:rFonts w:ascii="Times New Roman"/>
          <w:sz w:val="18"/>
          <w:lang w:val="en-GB"/>
        </w:rPr>
      </w:pPr>
    </w:p>
    <w:p w14:paraId="3FBD5ADE" w14:textId="4E2E2006" w:rsidR="00D1090C" w:rsidRPr="004D74F2" w:rsidRDefault="00D1090C" w:rsidP="00D1090C">
      <w:pPr>
        <w:jc w:val="both"/>
        <w:rPr>
          <w:rFonts w:cs="Times New Roman"/>
          <w:lang w:val="en-GB"/>
        </w:rPr>
      </w:pPr>
      <w:r w:rsidRPr="00B42973">
        <w:rPr>
          <w:rFonts w:cs="Times New Roman"/>
          <w:lang w:val="en-GB"/>
        </w:rPr>
        <w:t>Code:</w:t>
      </w:r>
      <w:r w:rsidRPr="00B42973">
        <w:rPr>
          <w:rFonts w:cs="Times New Roman"/>
          <w:lang w:val="en-GB"/>
        </w:rPr>
        <w:tab/>
      </w:r>
      <w:r w:rsidRPr="00B42973">
        <w:rPr>
          <w:rFonts w:cs="Times New Roman"/>
          <w:lang w:val="en-GB"/>
        </w:rPr>
        <w:tab/>
      </w:r>
      <w:r>
        <w:rPr>
          <w:rFonts w:cs="Times New Roman"/>
          <w:lang w:val="en-GB"/>
        </w:rPr>
        <w:t>QA221</w:t>
      </w:r>
    </w:p>
    <w:p w14:paraId="5E53BD74" w14:textId="3E194831" w:rsidR="00D1090C" w:rsidRPr="004D74F2" w:rsidRDefault="00D1090C" w:rsidP="00D1090C">
      <w:pPr>
        <w:jc w:val="both"/>
        <w:rPr>
          <w:rFonts w:cs="Times New Roman"/>
          <w:b/>
          <w:lang w:val="en-GB"/>
        </w:rPr>
      </w:pPr>
      <w:r w:rsidRPr="00B42973">
        <w:rPr>
          <w:rFonts w:cs="Times New Roman"/>
          <w:lang w:val="en-GB"/>
        </w:rPr>
        <w:t xml:space="preserve">Title: </w:t>
      </w:r>
      <w:r w:rsidRPr="00B42973">
        <w:rPr>
          <w:rFonts w:cs="Times New Roman"/>
          <w:lang w:val="en-GB"/>
        </w:rPr>
        <w:tab/>
      </w:r>
      <w:r w:rsidRPr="00B42973">
        <w:rPr>
          <w:rFonts w:cs="Times New Roman"/>
          <w:lang w:val="en-GB"/>
        </w:rPr>
        <w:tab/>
      </w:r>
      <w:r>
        <w:rPr>
          <w:rFonts w:cs="Times New Roman"/>
          <w:b/>
          <w:lang w:val="en-GB"/>
        </w:rPr>
        <w:t>Feedback on Modules and Programmes</w:t>
      </w:r>
    </w:p>
    <w:p w14:paraId="4D97FDEE" w14:textId="77777777" w:rsidR="00D1090C" w:rsidRPr="004D74F2" w:rsidRDefault="00D1090C" w:rsidP="00D1090C">
      <w:pPr>
        <w:jc w:val="both"/>
        <w:rPr>
          <w:rFonts w:cs="Times New Roman"/>
          <w:lang w:val="en-GB"/>
        </w:rPr>
      </w:pPr>
      <w:r>
        <w:rPr>
          <w:rFonts w:cs="Times New Roman"/>
          <w:lang w:val="en-GB"/>
        </w:rPr>
        <w:t xml:space="preserve">Date: </w:t>
      </w:r>
      <w:r>
        <w:rPr>
          <w:rFonts w:cs="Times New Roman"/>
          <w:lang w:val="en-GB"/>
        </w:rPr>
        <w:tab/>
      </w:r>
      <w:r>
        <w:rPr>
          <w:rFonts w:cs="Times New Roman"/>
          <w:lang w:val="en-GB"/>
        </w:rPr>
        <w:tab/>
        <w:t>06/06/2018</w:t>
      </w:r>
    </w:p>
    <w:p w14:paraId="5AF577CA" w14:textId="77777777" w:rsidR="00D1090C" w:rsidRDefault="00D1090C" w:rsidP="00D1090C">
      <w:pPr>
        <w:jc w:val="both"/>
        <w:rPr>
          <w:rFonts w:cs="Times New Roman"/>
          <w:lang w:val="en-GB"/>
        </w:rPr>
      </w:pPr>
      <w:r w:rsidRPr="00B42973">
        <w:rPr>
          <w:rFonts w:cs="Times New Roman"/>
          <w:lang w:val="en-GB"/>
        </w:rPr>
        <w:t xml:space="preserve">Approval: </w:t>
      </w:r>
      <w:r w:rsidRPr="00B42973">
        <w:rPr>
          <w:rFonts w:cs="Times New Roman"/>
          <w:lang w:val="en-GB"/>
        </w:rPr>
        <w:tab/>
      </w:r>
      <w:r>
        <w:rPr>
          <w:rFonts w:cs="Times New Roman"/>
          <w:lang w:val="en-GB"/>
        </w:rPr>
        <w:t>Learning, Teaching and Assessment</w:t>
      </w:r>
    </w:p>
    <w:p w14:paraId="6AF35A63" w14:textId="77777777" w:rsidR="00D1090C" w:rsidRPr="004D74F2" w:rsidRDefault="00D1090C" w:rsidP="00D1090C">
      <w:pPr>
        <w:jc w:val="both"/>
        <w:rPr>
          <w:rFonts w:cs="Times New Roman"/>
          <w:lang w:val="en-GB"/>
        </w:rPr>
      </w:pPr>
      <w:bookmarkStart w:id="0" w:name="_GoBack"/>
      <w:bookmarkEnd w:id="0"/>
    </w:p>
    <w:p w14:paraId="33A73FF0" w14:textId="099EF87C" w:rsidR="00246957" w:rsidRPr="00543D14" w:rsidRDefault="00606AD5" w:rsidP="00F24942">
      <w:pPr>
        <w:pStyle w:val="Heading1"/>
        <w:ind w:left="0"/>
        <w:rPr>
          <w:lang w:val="en-GB"/>
        </w:rPr>
      </w:pPr>
      <w:r w:rsidRPr="00543D14">
        <w:rPr>
          <w:lang w:val="en-GB"/>
        </w:rPr>
        <w:t>Purpose</w:t>
      </w:r>
    </w:p>
    <w:p w14:paraId="401CAAD3" w14:textId="5626A11A" w:rsidR="00246957" w:rsidRPr="00543D14" w:rsidRDefault="00685781" w:rsidP="00F24942">
      <w:pPr>
        <w:pStyle w:val="BodyText"/>
        <w:jc w:val="both"/>
        <w:rPr>
          <w:lang w:val="en-GB"/>
        </w:rPr>
      </w:pPr>
      <w:r w:rsidRPr="00543D14">
        <w:rPr>
          <w:lang w:val="en-GB"/>
        </w:rPr>
        <w:t xml:space="preserve">Student </w:t>
      </w:r>
      <w:r w:rsidR="00536B73" w:rsidRPr="00543D14">
        <w:rPr>
          <w:lang w:val="en-GB"/>
        </w:rPr>
        <w:t xml:space="preserve">feedback </w:t>
      </w:r>
      <w:r w:rsidR="00E6127A">
        <w:rPr>
          <w:lang w:val="en-GB"/>
        </w:rPr>
        <w:t>on modules and programmes</w:t>
      </w:r>
    </w:p>
    <w:p w14:paraId="26D22FB4" w14:textId="77777777" w:rsidR="00246957" w:rsidRPr="00543D14" w:rsidRDefault="00246957" w:rsidP="00F24942">
      <w:pPr>
        <w:pStyle w:val="BodyText"/>
        <w:rPr>
          <w:lang w:val="en-GB"/>
        </w:rPr>
      </w:pPr>
    </w:p>
    <w:p w14:paraId="1879EF8D" w14:textId="6D5DF8E1" w:rsidR="00246957" w:rsidRPr="00E04F10" w:rsidRDefault="00606AD5" w:rsidP="00A770DE">
      <w:pPr>
        <w:pStyle w:val="Heading1"/>
        <w:ind w:left="0"/>
        <w:rPr>
          <w:lang w:val="en-GB"/>
        </w:rPr>
      </w:pPr>
      <w:r w:rsidRPr="00543D14">
        <w:rPr>
          <w:lang w:val="en-GB"/>
        </w:rPr>
        <w:t>Description</w:t>
      </w:r>
    </w:p>
    <w:p w14:paraId="3C155F13" w14:textId="615CDF3F" w:rsidR="00E6127A" w:rsidRDefault="00606AD5" w:rsidP="0015519E">
      <w:pPr>
        <w:pStyle w:val="BodyText"/>
        <w:ind w:right="114"/>
        <w:jc w:val="both"/>
        <w:rPr>
          <w:lang w:val="en-GB"/>
        </w:rPr>
      </w:pPr>
      <w:r w:rsidRPr="002B70F7">
        <w:rPr>
          <w:lang w:val="en-GB"/>
        </w:rPr>
        <w:t>Every module and programme at</w:t>
      </w:r>
      <w:r w:rsidR="00542F72">
        <w:rPr>
          <w:lang w:val="en-GB"/>
        </w:rPr>
        <w:t xml:space="preserve"> NUI Galway must seek </w:t>
      </w:r>
      <w:r w:rsidR="0075410D">
        <w:rPr>
          <w:lang w:val="en-GB"/>
        </w:rPr>
        <w:t xml:space="preserve">regular </w:t>
      </w:r>
      <w:r w:rsidR="00542F72">
        <w:rPr>
          <w:lang w:val="en-GB"/>
        </w:rPr>
        <w:t xml:space="preserve">formal </w:t>
      </w:r>
      <w:r w:rsidR="00685781" w:rsidRPr="002B70F7">
        <w:rPr>
          <w:lang w:val="en-GB"/>
        </w:rPr>
        <w:t xml:space="preserve">student </w:t>
      </w:r>
      <w:r w:rsidR="00A770DE">
        <w:rPr>
          <w:lang w:val="en-GB"/>
        </w:rPr>
        <w:t xml:space="preserve">feedback </w:t>
      </w:r>
      <w:r w:rsidR="00E6127A">
        <w:rPr>
          <w:lang w:val="en-GB"/>
        </w:rPr>
        <w:t xml:space="preserve">on aspects related to the student perception of the module </w:t>
      </w:r>
      <w:r w:rsidR="00EF11C9">
        <w:rPr>
          <w:lang w:val="en-GB"/>
        </w:rPr>
        <w:t>and</w:t>
      </w:r>
      <w:r w:rsidR="00E6127A">
        <w:rPr>
          <w:lang w:val="en-GB"/>
        </w:rPr>
        <w:t xml:space="preserve"> programme delivery</w:t>
      </w:r>
      <w:r w:rsidR="00542F72">
        <w:rPr>
          <w:lang w:val="en-GB"/>
        </w:rPr>
        <w:t>, expectations, and/or their levels of engagement</w:t>
      </w:r>
      <w:r w:rsidR="00474D16">
        <w:rPr>
          <w:lang w:val="en-GB"/>
        </w:rPr>
        <w:t>. This will</w:t>
      </w:r>
      <w:r w:rsidR="00E6127A">
        <w:rPr>
          <w:lang w:val="en-GB"/>
        </w:rPr>
        <w:t xml:space="preserve"> result in an action plan by lecturers and programme boards for enhance</w:t>
      </w:r>
      <w:r w:rsidR="00474D16">
        <w:rPr>
          <w:lang w:val="en-GB"/>
        </w:rPr>
        <w:t>d student</w:t>
      </w:r>
      <w:r w:rsidR="00E6127A">
        <w:rPr>
          <w:lang w:val="en-GB"/>
        </w:rPr>
        <w:t xml:space="preserve"> learning and </w:t>
      </w:r>
      <w:r w:rsidR="00474D16">
        <w:rPr>
          <w:lang w:val="en-GB"/>
        </w:rPr>
        <w:t xml:space="preserve">overall </w:t>
      </w:r>
      <w:r w:rsidR="00E6127A">
        <w:rPr>
          <w:lang w:val="en-GB"/>
        </w:rPr>
        <w:t xml:space="preserve">course delivery. </w:t>
      </w:r>
      <w:r w:rsidR="001A56C3" w:rsidRPr="002B70F7">
        <w:rPr>
          <w:lang w:val="en-GB"/>
        </w:rPr>
        <w:t xml:space="preserve">The purpose of </w:t>
      </w:r>
      <w:r w:rsidR="00E6127A">
        <w:rPr>
          <w:lang w:val="en-GB"/>
        </w:rPr>
        <w:t xml:space="preserve">this </w:t>
      </w:r>
      <w:r w:rsidR="001A56C3" w:rsidRPr="002B70F7">
        <w:rPr>
          <w:lang w:val="en-GB"/>
        </w:rPr>
        <w:t>feedback is</w:t>
      </w:r>
      <w:r w:rsidR="00A770DE">
        <w:rPr>
          <w:lang w:val="en-GB"/>
        </w:rPr>
        <w:t xml:space="preserve"> to: </w:t>
      </w:r>
    </w:p>
    <w:p w14:paraId="4B72FBC7" w14:textId="77777777" w:rsidR="00E6127A" w:rsidRDefault="00E6127A" w:rsidP="0015519E">
      <w:pPr>
        <w:pStyle w:val="BodyText"/>
        <w:ind w:right="114"/>
        <w:jc w:val="both"/>
        <w:rPr>
          <w:lang w:val="en-GB"/>
        </w:rPr>
      </w:pPr>
    </w:p>
    <w:p w14:paraId="1EBD8E4E" w14:textId="77777777" w:rsidR="00E6127A" w:rsidRDefault="00A770DE" w:rsidP="00E6127A">
      <w:pPr>
        <w:pStyle w:val="BodyText"/>
        <w:numPr>
          <w:ilvl w:val="0"/>
          <w:numId w:val="9"/>
        </w:numPr>
        <w:ind w:right="114"/>
        <w:jc w:val="both"/>
        <w:rPr>
          <w:lang w:val="en-GB"/>
        </w:rPr>
      </w:pPr>
      <w:r>
        <w:rPr>
          <w:lang w:val="en-GB"/>
        </w:rPr>
        <w:t>G</w:t>
      </w:r>
      <w:r w:rsidR="001A56C3" w:rsidRPr="002B70F7">
        <w:rPr>
          <w:lang w:val="en-GB"/>
        </w:rPr>
        <w:t>ive students the opportunity t</w:t>
      </w:r>
      <w:r w:rsidR="00E6127A">
        <w:rPr>
          <w:lang w:val="en-GB"/>
        </w:rPr>
        <w:t>o communicate their views on how they experienced the module in terms of teaching, organisation, and other relevant aspects</w:t>
      </w:r>
      <w:r>
        <w:rPr>
          <w:lang w:val="en-GB"/>
        </w:rPr>
        <w:t xml:space="preserve">; </w:t>
      </w:r>
    </w:p>
    <w:p w14:paraId="3D244248" w14:textId="77777777" w:rsidR="00E6127A" w:rsidRDefault="00E6127A" w:rsidP="00E6127A">
      <w:pPr>
        <w:pStyle w:val="BodyText"/>
        <w:numPr>
          <w:ilvl w:val="0"/>
          <w:numId w:val="9"/>
        </w:numPr>
        <w:ind w:right="114"/>
        <w:jc w:val="both"/>
        <w:rPr>
          <w:lang w:val="en-GB"/>
        </w:rPr>
      </w:pPr>
      <w:r>
        <w:rPr>
          <w:lang w:val="en-GB"/>
        </w:rPr>
        <w:t>Promote student responsibility, engagement and partnership in the learning process;</w:t>
      </w:r>
    </w:p>
    <w:p w14:paraId="45E9E2A8" w14:textId="77777777" w:rsidR="00E6127A" w:rsidRDefault="00E6127A" w:rsidP="00E6127A">
      <w:pPr>
        <w:pStyle w:val="BodyText"/>
        <w:numPr>
          <w:ilvl w:val="0"/>
          <w:numId w:val="9"/>
        </w:numPr>
        <w:ind w:right="114"/>
        <w:jc w:val="both"/>
        <w:rPr>
          <w:lang w:val="en-GB"/>
        </w:rPr>
      </w:pPr>
      <w:r w:rsidRPr="00E6127A">
        <w:rPr>
          <w:lang w:val="en-GB"/>
        </w:rPr>
        <w:t>Provide</w:t>
      </w:r>
      <w:r>
        <w:rPr>
          <w:lang w:val="en-GB"/>
        </w:rPr>
        <w:t xml:space="preserve"> course teams and</w:t>
      </w:r>
      <w:r w:rsidRPr="00E6127A">
        <w:rPr>
          <w:lang w:val="en-GB"/>
        </w:rPr>
        <w:t xml:space="preserve"> </w:t>
      </w:r>
      <w:r w:rsidR="001A56C3" w:rsidRPr="00E6127A">
        <w:rPr>
          <w:lang w:val="en-GB"/>
        </w:rPr>
        <w:t>lecture</w:t>
      </w:r>
      <w:r>
        <w:rPr>
          <w:lang w:val="en-GB"/>
        </w:rPr>
        <w:t>rs with evidence of how they might improve the delivery and operation of the module/programme;</w:t>
      </w:r>
    </w:p>
    <w:p w14:paraId="770F60E3" w14:textId="7281C3D0" w:rsidR="00E6127A" w:rsidRDefault="00E6127A" w:rsidP="00E6127A">
      <w:pPr>
        <w:pStyle w:val="BodyText"/>
        <w:numPr>
          <w:ilvl w:val="0"/>
          <w:numId w:val="9"/>
        </w:numPr>
        <w:ind w:right="114"/>
        <w:jc w:val="both"/>
        <w:rPr>
          <w:lang w:val="en-GB"/>
        </w:rPr>
      </w:pPr>
      <w:r>
        <w:rPr>
          <w:lang w:val="en-GB"/>
        </w:rPr>
        <w:t>Promote continued enhancement and innovation in teaching, learning, and assessment;</w:t>
      </w:r>
    </w:p>
    <w:p w14:paraId="5ED4FF33" w14:textId="77777777" w:rsidR="00952202" w:rsidRDefault="00952202" w:rsidP="00E6127A">
      <w:pPr>
        <w:pStyle w:val="BodyText"/>
        <w:ind w:right="114"/>
        <w:jc w:val="both"/>
        <w:rPr>
          <w:lang w:val="en-GB"/>
        </w:rPr>
      </w:pPr>
    </w:p>
    <w:p w14:paraId="2C4F2A49" w14:textId="35C27EE6" w:rsidR="00952202" w:rsidRDefault="00952202" w:rsidP="00E6127A">
      <w:pPr>
        <w:pStyle w:val="BodyText"/>
        <w:ind w:right="114"/>
        <w:jc w:val="both"/>
        <w:rPr>
          <w:lang w:val="en-GB"/>
        </w:rPr>
      </w:pPr>
      <w:r>
        <w:rPr>
          <w:lang w:val="en-GB"/>
        </w:rPr>
        <w:t xml:space="preserve">Schools and Colleges are responsible for ensuring that such </w:t>
      </w:r>
      <w:r w:rsidR="00474D16">
        <w:rPr>
          <w:lang w:val="en-GB"/>
        </w:rPr>
        <w:t xml:space="preserve">feedback practices </w:t>
      </w:r>
      <w:r>
        <w:rPr>
          <w:lang w:val="en-GB"/>
        </w:rPr>
        <w:t xml:space="preserve">are undertaken, that appropriate actions (where identified) are taken in response to the feedback, and that students are subsequently informed of any resulting enhancements or changes. </w:t>
      </w:r>
    </w:p>
    <w:p w14:paraId="555DD66F" w14:textId="77777777" w:rsidR="006369C1" w:rsidRDefault="006369C1" w:rsidP="00E6127A">
      <w:pPr>
        <w:pStyle w:val="BodyText"/>
        <w:ind w:right="114"/>
        <w:jc w:val="both"/>
        <w:rPr>
          <w:lang w:val="en-GB"/>
        </w:rPr>
      </w:pPr>
    </w:p>
    <w:p w14:paraId="0BF83838" w14:textId="7B9F6696" w:rsidR="006369C1" w:rsidRDefault="006369C1" w:rsidP="00E6127A">
      <w:pPr>
        <w:pStyle w:val="BodyText"/>
        <w:ind w:right="114"/>
        <w:jc w:val="both"/>
        <w:rPr>
          <w:lang w:val="en-GB"/>
        </w:rPr>
      </w:pPr>
      <w:r>
        <w:rPr>
          <w:lang w:val="en-GB"/>
        </w:rPr>
        <w:t>The Irish Survey of Student Engagement (ISSE) is an additional, national annual survey, the results of which can be broken down to the discipline level. It is in the best interests of the institution, the Colleges and Schools, students and staff, to ensure maximum engagement with ISSE. The extent to which ISSE data can provide sufficient information for programme level evaluation, should be considered by Colleges and Schools and all relevant student cohorts should be expected to complete the ISSE.</w:t>
      </w:r>
    </w:p>
    <w:p w14:paraId="5AA50305" w14:textId="77777777" w:rsidR="002B70F7" w:rsidRDefault="002B70F7" w:rsidP="00F24942">
      <w:pPr>
        <w:pStyle w:val="BodyText"/>
        <w:ind w:right="114"/>
        <w:jc w:val="both"/>
        <w:rPr>
          <w:lang w:val="en-GB"/>
        </w:rPr>
      </w:pPr>
    </w:p>
    <w:p w14:paraId="5F0557EF" w14:textId="018AFBE6" w:rsidR="002B70F7" w:rsidRPr="00543D14" w:rsidRDefault="00EF11C9" w:rsidP="002B70F7">
      <w:pPr>
        <w:pStyle w:val="BodyText"/>
        <w:ind w:right="114"/>
        <w:jc w:val="both"/>
        <w:rPr>
          <w:b/>
          <w:lang w:val="en-GB"/>
        </w:rPr>
      </w:pPr>
      <w:r>
        <w:rPr>
          <w:b/>
          <w:lang w:val="en-GB"/>
        </w:rPr>
        <w:t xml:space="preserve">Feedback </w:t>
      </w:r>
      <w:r w:rsidR="002B70F7" w:rsidRPr="00543D14">
        <w:rPr>
          <w:b/>
          <w:lang w:val="en-GB"/>
        </w:rPr>
        <w:t>Instrument</w:t>
      </w:r>
      <w:r w:rsidR="00952202">
        <w:rPr>
          <w:b/>
          <w:lang w:val="en-GB"/>
        </w:rPr>
        <w:t xml:space="preserve"> &amp; Method</w:t>
      </w:r>
    </w:p>
    <w:p w14:paraId="53444DB3" w14:textId="77777777" w:rsidR="00542F72" w:rsidRDefault="00542F72" w:rsidP="00542F72">
      <w:pPr>
        <w:pStyle w:val="BodyText"/>
        <w:ind w:right="114"/>
        <w:jc w:val="both"/>
      </w:pPr>
      <w:r w:rsidRPr="00542F72">
        <w:t xml:space="preserve">Whilst there are a wide range of possible methods for obtaining and </w:t>
      </w:r>
      <w:proofErr w:type="spellStart"/>
      <w:r w:rsidRPr="00542F72">
        <w:t>analysing</w:t>
      </w:r>
      <w:proofErr w:type="spellEnd"/>
      <w:r w:rsidRPr="00542F72">
        <w:t xml:space="preserve"> feedback, </w:t>
      </w:r>
      <w:r w:rsidRPr="00D65C4F">
        <w:t>each school is required to establish a formal process to do so</w:t>
      </w:r>
      <w:r w:rsidRPr="00542F72">
        <w:t xml:space="preserve">, in a manner which is consistent and allows comparisons and analysis across modules and programmes. In large schools where the management of programmes or courses is devolved to Heads of Discipline or Programme Directors, the operation of the feedback process may also be devolved, but the instruments used and approaches taken should be consistent across the School and overall data and results shared with the Head of School. </w:t>
      </w:r>
    </w:p>
    <w:p w14:paraId="1F78A161" w14:textId="77777777" w:rsidR="00542F72" w:rsidRDefault="00542F72" w:rsidP="00542F72">
      <w:pPr>
        <w:pStyle w:val="BodyText"/>
        <w:ind w:right="114"/>
        <w:jc w:val="both"/>
      </w:pPr>
    </w:p>
    <w:p w14:paraId="71D3B97D" w14:textId="3E2E06AD" w:rsidR="00542F72" w:rsidRPr="00542F72" w:rsidRDefault="00542F72" w:rsidP="00542F72">
      <w:pPr>
        <w:pStyle w:val="BodyText"/>
        <w:ind w:right="114"/>
        <w:jc w:val="both"/>
      </w:pPr>
      <w:r w:rsidRPr="00542F72">
        <w:t>The Dean of College has the authority to require each constituent school to adopt the same feedback procedure and instrument where this is thought necessary or useful. For Colleges with diverse disciplines, some of which may also have external accreditation requirements to consider, it is possible that approaches will need to vary</w:t>
      </w:r>
      <w:r>
        <w:t>.</w:t>
      </w:r>
    </w:p>
    <w:p w14:paraId="0BC59C6F" w14:textId="77777777" w:rsidR="001F49B0" w:rsidRPr="00543D14" w:rsidRDefault="001F49B0" w:rsidP="00F24942">
      <w:pPr>
        <w:pStyle w:val="BodyText"/>
        <w:ind w:right="114"/>
        <w:jc w:val="both"/>
        <w:rPr>
          <w:lang w:val="en-GB"/>
        </w:rPr>
      </w:pPr>
    </w:p>
    <w:p w14:paraId="61AE3DD8" w14:textId="4EAD6661" w:rsidR="00FC0087" w:rsidRPr="00543D14" w:rsidRDefault="002B70F7" w:rsidP="00FC0087">
      <w:pPr>
        <w:pStyle w:val="BodyText"/>
        <w:ind w:right="114"/>
        <w:jc w:val="both"/>
        <w:rPr>
          <w:b/>
          <w:lang w:val="en-GB"/>
        </w:rPr>
      </w:pPr>
      <w:r>
        <w:rPr>
          <w:b/>
          <w:lang w:val="en-GB"/>
        </w:rPr>
        <w:t>Timing of</w:t>
      </w:r>
      <w:r w:rsidR="00890992" w:rsidRPr="00543D14">
        <w:rPr>
          <w:b/>
          <w:lang w:val="en-GB"/>
        </w:rPr>
        <w:t xml:space="preserve"> </w:t>
      </w:r>
      <w:r w:rsidR="00DC3C4C">
        <w:rPr>
          <w:b/>
          <w:lang w:val="en-GB"/>
        </w:rPr>
        <w:t xml:space="preserve">Feedback </w:t>
      </w:r>
      <w:r w:rsidR="00391ACF">
        <w:rPr>
          <w:b/>
          <w:lang w:val="en-GB"/>
        </w:rPr>
        <w:t xml:space="preserve">  </w:t>
      </w:r>
    </w:p>
    <w:p w14:paraId="50D732E1" w14:textId="77777777" w:rsidR="000362FB" w:rsidRDefault="008946ED" w:rsidP="000362FB">
      <w:pPr>
        <w:pStyle w:val="BodyText"/>
        <w:ind w:right="114"/>
        <w:jc w:val="both"/>
        <w:rPr>
          <w:lang w:val="en-GB"/>
        </w:rPr>
      </w:pPr>
      <w:r>
        <w:rPr>
          <w:lang w:val="en-GB"/>
        </w:rPr>
        <w:t>S</w:t>
      </w:r>
      <w:r w:rsidR="002B70F7" w:rsidRPr="002B70F7">
        <w:rPr>
          <w:lang w:val="en-GB"/>
        </w:rPr>
        <w:t xml:space="preserve">tudent </w:t>
      </w:r>
      <w:r w:rsidR="0064778F">
        <w:rPr>
          <w:lang w:val="en-GB"/>
        </w:rPr>
        <w:t xml:space="preserve">feedback practices </w:t>
      </w:r>
      <w:r>
        <w:rPr>
          <w:lang w:val="en-GB"/>
        </w:rPr>
        <w:t>can</w:t>
      </w:r>
      <w:r w:rsidR="002B70F7" w:rsidRPr="002B70F7">
        <w:rPr>
          <w:lang w:val="en-GB"/>
        </w:rPr>
        <w:t xml:space="preserve"> be </w:t>
      </w:r>
      <w:r w:rsidR="00A770DE">
        <w:rPr>
          <w:lang w:val="en-GB"/>
        </w:rPr>
        <w:t>carried out</w:t>
      </w:r>
      <w:r w:rsidR="002B70F7" w:rsidRPr="002B70F7">
        <w:rPr>
          <w:lang w:val="en-GB"/>
        </w:rPr>
        <w:t xml:space="preserve"> in mid-semester (</w:t>
      </w:r>
      <w:r w:rsidR="00542F72">
        <w:rPr>
          <w:lang w:val="en-GB"/>
        </w:rPr>
        <w:t>that can identify any issues or provide suggestions regarding the operation of the module whilst it is running</w:t>
      </w:r>
      <w:r w:rsidR="002B70F7" w:rsidRPr="002B70F7">
        <w:rPr>
          <w:lang w:val="en-GB"/>
        </w:rPr>
        <w:t>)</w:t>
      </w:r>
      <w:r w:rsidR="0045341E">
        <w:rPr>
          <w:lang w:val="en-GB"/>
        </w:rPr>
        <w:t>, or</w:t>
      </w:r>
      <w:r w:rsidR="002B70F7" w:rsidRPr="002B70F7">
        <w:rPr>
          <w:lang w:val="en-GB"/>
        </w:rPr>
        <w:t xml:space="preserve"> at t</w:t>
      </w:r>
      <w:r w:rsidR="00542F72">
        <w:rPr>
          <w:lang w:val="en-GB"/>
        </w:rPr>
        <w:t>he end of a module or programme</w:t>
      </w:r>
      <w:r w:rsidR="002B70F7" w:rsidRPr="002B70F7">
        <w:rPr>
          <w:lang w:val="en-GB"/>
        </w:rPr>
        <w:t>.</w:t>
      </w:r>
      <w:r w:rsidR="006E7903">
        <w:rPr>
          <w:lang w:val="en-GB"/>
        </w:rPr>
        <w:t xml:space="preserve"> </w:t>
      </w:r>
    </w:p>
    <w:p w14:paraId="09BC223A" w14:textId="77777777" w:rsidR="000362FB" w:rsidRDefault="000362FB" w:rsidP="000362FB">
      <w:pPr>
        <w:pStyle w:val="BodyText"/>
        <w:ind w:right="114"/>
        <w:jc w:val="both"/>
        <w:rPr>
          <w:lang w:val="en-GB"/>
        </w:rPr>
      </w:pPr>
    </w:p>
    <w:p w14:paraId="7AB07EF1" w14:textId="6AC7B01C" w:rsidR="000362FB" w:rsidRPr="000362FB" w:rsidRDefault="000362FB" w:rsidP="000362FB">
      <w:pPr>
        <w:pStyle w:val="BodyText"/>
        <w:ind w:right="114"/>
        <w:jc w:val="both"/>
      </w:pPr>
      <w:r w:rsidRPr="000362FB">
        <w:t xml:space="preserve">Survey fatigue may be an issue if students are subject to multiple requests for feedback. Schools, Colleges, and others seeking feedback from students should seek, where possible, to coordinate such requests, minimizing the number of separate surveys, schedule requests effectively, and ensuring that questionnaires are brief and focused on specific, key aspects.  </w:t>
      </w:r>
    </w:p>
    <w:p w14:paraId="6F87F9BB" w14:textId="77777777" w:rsidR="0064778F" w:rsidRDefault="0064778F" w:rsidP="008946ED">
      <w:pPr>
        <w:pStyle w:val="BodyText"/>
        <w:ind w:right="114"/>
        <w:jc w:val="both"/>
        <w:rPr>
          <w:b/>
          <w:lang w:val="en-GB"/>
        </w:rPr>
      </w:pPr>
    </w:p>
    <w:p w14:paraId="6F04B885" w14:textId="0319A81E" w:rsidR="008946ED" w:rsidRPr="002B70F7" w:rsidRDefault="007F7CBE" w:rsidP="008946ED">
      <w:pPr>
        <w:pStyle w:val="BodyText"/>
        <w:ind w:right="114"/>
        <w:jc w:val="both"/>
        <w:rPr>
          <w:b/>
          <w:lang w:val="en-GB"/>
        </w:rPr>
      </w:pPr>
      <w:r>
        <w:rPr>
          <w:b/>
          <w:lang w:val="en-GB"/>
        </w:rPr>
        <w:t>Student Participation</w:t>
      </w:r>
    </w:p>
    <w:p w14:paraId="189B9FA4" w14:textId="4425160D" w:rsidR="00B90F91" w:rsidRDefault="00C33AC4" w:rsidP="00A07665">
      <w:pPr>
        <w:pStyle w:val="BodyText"/>
        <w:ind w:right="114"/>
        <w:jc w:val="both"/>
        <w:rPr>
          <w:lang w:val="en-GB"/>
        </w:rPr>
      </w:pPr>
      <w:r>
        <w:rPr>
          <w:lang w:val="en-GB"/>
        </w:rPr>
        <w:t xml:space="preserve">Whilst </w:t>
      </w:r>
      <w:r w:rsidR="0075410D">
        <w:rPr>
          <w:lang w:val="en-GB"/>
        </w:rPr>
        <w:t xml:space="preserve">even surveys with low rates of return </w:t>
      </w:r>
      <w:r>
        <w:rPr>
          <w:lang w:val="en-GB"/>
        </w:rPr>
        <w:t xml:space="preserve">might still contain some useful suggestions from students, the overall validity of </w:t>
      </w:r>
      <w:r w:rsidR="0075410D">
        <w:rPr>
          <w:lang w:val="en-GB"/>
        </w:rPr>
        <w:t xml:space="preserve">general </w:t>
      </w:r>
      <w:r w:rsidR="00A07665">
        <w:rPr>
          <w:lang w:val="en-GB"/>
        </w:rPr>
        <w:t>feedback</w:t>
      </w:r>
      <w:r>
        <w:rPr>
          <w:lang w:val="en-GB"/>
        </w:rPr>
        <w:t xml:space="preserve"> is dependent on the </w:t>
      </w:r>
      <w:r w:rsidR="000362FB">
        <w:rPr>
          <w:lang w:val="en-GB"/>
        </w:rPr>
        <w:t>level</w:t>
      </w:r>
      <w:r>
        <w:rPr>
          <w:lang w:val="en-GB"/>
        </w:rPr>
        <w:t xml:space="preserve"> of participation. It is important, therefore, that the College and School approach to </w:t>
      </w:r>
      <w:r w:rsidR="00A07665">
        <w:rPr>
          <w:lang w:val="en-GB"/>
        </w:rPr>
        <w:t xml:space="preserve">student feedback </w:t>
      </w:r>
      <w:r>
        <w:rPr>
          <w:lang w:val="en-GB"/>
        </w:rPr>
        <w:t xml:space="preserve">aims to maximise the return rate. </w:t>
      </w:r>
      <w:r w:rsidR="00A07665">
        <w:rPr>
          <w:lang w:val="en-GB"/>
        </w:rPr>
        <w:t xml:space="preserve">Increased participation may be facilitated </w:t>
      </w:r>
      <w:r>
        <w:rPr>
          <w:lang w:val="en-GB"/>
        </w:rPr>
        <w:t xml:space="preserve">by scheduling </w:t>
      </w:r>
      <w:r w:rsidR="00A07665">
        <w:rPr>
          <w:lang w:val="en-GB"/>
        </w:rPr>
        <w:t>feedback</w:t>
      </w:r>
      <w:r>
        <w:rPr>
          <w:lang w:val="en-GB"/>
        </w:rPr>
        <w:t xml:space="preserve"> completion during class time, coordinating across modules/programmes, and/or by working in partnership with Student Class Reps to promote engagement. This emphasises the importance of students seeing the value in this process by feeding back to them information regarding changes made as a result of their input.</w:t>
      </w:r>
    </w:p>
    <w:p w14:paraId="0A533A61" w14:textId="77777777" w:rsidR="007F7CBE" w:rsidRDefault="007F7CBE" w:rsidP="00A07665">
      <w:pPr>
        <w:pStyle w:val="BodyText"/>
        <w:ind w:right="114"/>
        <w:jc w:val="both"/>
        <w:rPr>
          <w:lang w:val="en-GB"/>
        </w:rPr>
      </w:pPr>
    </w:p>
    <w:p w14:paraId="35F3468D" w14:textId="63B5F79B" w:rsidR="007F7CBE" w:rsidRPr="004F3BE8" w:rsidRDefault="007F7CBE" w:rsidP="00A07665">
      <w:pPr>
        <w:pStyle w:val="BodyText"/>
        <w:ind w:right="114"/>
        <w:jc w:val="both"/>
      </w:pPr>
      <w:r w:rsidRPr="007F7CBE">
        <w:t xml:space="preserve">Students are encouraged to avail of opportunities to provide feedback on modules, courses, and their approaches to learning. A university is a scholarly community in which all members make contributions to its development and operations. Completing feedback questionnaires, electing class representatives, participating in staff-student liaison committees, providing constructive suggestions, and actively engaging in study, are all highly valued contributions to the wellbeing of the institution and the enhancement of quality.  When such feedback is sought, students (as is expected of respondents to any such survey) should respond respectfully and constructively, avoiding inappropriate language, tone, or comments. </w:t>
      </w:r>
      <w:r w:rsidRPr="007F7CBE">
        <w:rPr>
          <w:vertAlign w:val="superscript"/>
        </w:rPr>
        <w:footnoteReference w:id="1"/>
      </w:r>
    </w:p>
    <w:p w14:paraId="6B010DF8" w14:textId="77777777" w:rsidR="0032643D" w:rsidRPr="00543D14" w:rsidRDefault="0032643D" w:rsidP="0064778F">
      <w:pPr>
        <w:pStyle w:val="ListParagraph"/>
        <w:tabs>
          <w:tab w:val="left" w:pos="841"/>
        </w:tabs>
        <w:ind w:left="0" w:right="113" w:firstLine="0"/>
        <w:rPr>
          <w:lang w:val="en-GB"/>
        </w:rPr>
      </w:pPr>
    </w:p>
    <w:p w14:paraId="1174F7DC" w14:textId="77777777" w:rsidR="00D86047" w:rsidRPr="00543D14" w:rsidRDefault="00D86047" w:rsidP="0064778F">
      <w:pPr>
        <w:pStyle w:val="ListParagraph"/>
        <w:tabs>
          <w:tab w:val="left" w:pos="841"/>
        </w:tabs>
        <w:ind w:left="0" w:right="113" w:firstLine="0"/>
        <w:rPr>
          <w:b/>
          <w:lang w:val="en-GB"/>
        </w:rPr>
      </w:pPr>
      <w:r w:rsidRPr="00543D14">
        <w:rPr>
          <w:b/>
          <w:lang w:val="en-GB"/>
        </w:rPr>
        <w:t>Independent Oversight</w:t>
      </w:r>
    </w:p>
    <w:p w14:paraId="1CCFCB80" w14:textId="489FFF5E" w:rsidR="00D86047" w:rsidRDefault="0054169C" w:rsidP="00A07665">
      <w:pPr>
        <w:pStyle w:val="BodyText"/>
        <w:ind w:right="114"/>
        <w:jc w:val="both"/>
        <w:rPr>
          <w:lang w:val="en-GB"/>
        </w:rPr>
      </w:pPr>
      <w:r>
        <w:rPr>
          <w:lang w:val="en-GB"/>
        </w:rPr>
        <w:t xml:space="preserve">Deans, </w:t>
      </w:r>
      <w:r w:rsidR="007A0ED3" w:rsidRPr="00543D14">
        <w:rPr>
          <w:lang w:val="en-GB"/>
        </w:rPr>
        <w:t xml:space="preserve">Heads of </w:t>
      </w:r>
      <w:r w:rsidR="00A07665">
        <w:rPr>
          <w:lang w:val="en-GB"/>
        </w:rPr>
        <w:t>S</w:t>
      </w:r>
      <w:r w:rsidR="007A0ED3" w:rsidRPr="00543D14">
        <w:rPr>
          <w:lang w:val="en-GB"/>
        </w:rPr>
        <w:t xml:space="preserve">chool </w:t>
      </w:r>
      <w:r w:rsidR="00A07665">
        <w:rPr>
          <w:lang w:val="en-GB"/>
        </w:rPr>
        <w:t>(</w:t>
      </w:r>
      <w:r w:rsidR="001A56C3" w:rsidRPr="00543D14">
        <w:rPr>
          <w:lang w:val="en-GB"/>
        </w:rPr>
        <w:t>or their nominees</w:t>
      </w:r>
      <w:r w:rsidR="00A07665">
        <w:rPr>
          <w:lang w:val="en-GB"/>
        </w:rPr>
        <w:t>)</w:t>
      </w:r>
      <w:r w:rsidR="001A56C3" w:rsidRPr="00543D14">
        <w:rPr>
          <w:lang w:val="en-GB"/>
        </w:rPr>
        <w:t xml:space="preserve"> </w:t>
      </w:r>
      <w:r w:rsidR="007A0ED3" w:rsidRPr="00543D14">
        <w:rPr>
          <w:lang w:val="en-GB"/>
        </w:rPr>
        <w:t xml:space="preserve">are responsible for ensuring </w:t>
      </w:r>
      <w:r w:rsidR="008946ED">
        <w:rPr>
          <w:lang w:val="en-GB"/>
        </w:rPr>
        <w:t xml:space="preserve">that </w:t>
      </w:r>
      <w:r w:rsidR="006369C1">
        <w:rPr>
          <w:lang w:val="en-GB"/>
        </w:rPr>
        <w:t xml:space="preserve">the </w:t>
      </w:r>
      <w:r w:rsidR="008946ED">
        <w:rPr>
          <w:lang w:val="en-GB"/>
        </w:rPr>
        <w:t>feedback</w:t>
      </w:r>
      <w:r w:rsidR="007A0ED3" w:rsidRPr="00543D14">
        <w:rPr>
          <w:lang w:val="en-GB"/>
        </w:rPr>
        <w:t xml:space="preserve"> </w:t>
      </w:r>
      <w:r w:rsidR="006369C1">
        <w:rPr>
          <w:lang w:val="en-GB"/>
        </w:rPr>
        <w:t>process has</w:t>
      </w:r>
      <w:r w:rsidR="007A0ED3" w:rsidRPr="00543D14">
        <w:rPr>
          <w:lang w:val="en-GB"/>
        </w:rPr>
        <w:t xml:space="preserve"> been carried out </w:t>
      </w:r>
      <w:r w:rsidR="008946ED">
        <w:rPr>
          <w:lang w:val="en-GB"/>
        </w:rPr>
        <w:t xml:space="preserve">and acted upon </w:t>
      </w:r>
      <w:r w:rsidR="00330E53">
        <w:rPr>
          <w:lang w:val="en-GB"/>
        </w:rPr>
        <w:t xml:space="preserve">for all </w:t>
      </w:r>
      <w:r w:rsidR="007A0ED3" w:rsidRPr="00543D14">
        <w:rPr>
          <w:lang w:val="en-GB"/>
        </w:rPr>
        <w:t>modules</w:t>
      </w:r>
      <w:r w:rsidR="00A00FE1">
        <w:rPr>
          <w:lang w:val="en-GB"/>
        </w:rPr>
        <w:t xml:space="preserve"> and programmes</w:t>
      </w:r>
      <w:r w:rsidR="00A770DE">
        <w:rPr>
          <w:lang w:val="en-GB"/>
        </w:rPr>
        <w:t xml:space="preserve">. </w:t>
      </w:r>
      <w:r w:rsidR="00D86047" w:rsidRPr="00543D14">
        <w:rPr>
          <w:lang w:val="en-GB"/>
        </w:rPr>
        <w:t xml:space="preserve">Lecturers must provide </w:t>
      </w:r>
      <w:r w:rsidR="002112AF" w:rsidRPr="00543D14">
        <w:rPr>
          <w:lang w:val="en-GB"/>
        </w:rPr>
        <w:t>evidence</w:t>
      </w:r>
      <w:r w:rsidR="00CF103C">
        <w:rPr>
          <w:lang w:val="en-GB"/>
        </w:rPr>
        <w:t xml:space="preserve"> of this </w:t>
      </w:r>
      <w:r w:rsidR="004E5196">
        <w:rPr>
          <w:lang w:val="en-GB"/>
        </w:rPr>
        <w:t xml:space="preserve">at the request of </w:t>
      </w:r>
      <w:r w:rsidR="009F64F0">
        <w:rPr>
          <w:lang w:val="en-GB"/>
        </w:rPr>
        <w:t xml:space="preserve">Deans and </w:t>
      </w:r>
      <w:r w:rsidR="00D86047" w:rsidRPr="00543D14">
        <w:rPr>
          <w:lang w:val="en-GB"/>
        </w:rPr>
        <w:t>Heads</w:t>
      </w:r>
      <w:r w:rsidR="00A07665">
        <w:rPr>
          <w:lang w:val="en-GB"/>
        </w:rPr>
        <w:t>,</w:t>
      </w:r>
      <w:r w:rsidR="00D86047" w:rsidRPr="00543D14">
        <w:rPr>
          <w:lang w:val="en-GB"/>
        </w:rPr>
        <w:t xml:space="preserve"> </w:t>
      </w:r>
      <w:r w:rsidR="004E5196">
        <w:rPr>
          <w:lang w:val="en-GB"/>
        </w:rPr>
        <w:t xml:space="preserve">who </w:t>
      </w:r>
      <w:r w:rsidR="00A07665">
        <w:rPr>
          <w:lang w:val="en-GB"/>
        </w:rPr>
        <w:t>may also request</w:t>
      </w:r>
      <w:r w:rsidR="002112AF" w:rsidRPr="00543D14">
        <w:rPr>
          <w:lang w:val="en-GB"/>
        </w:rPr>
        <w:t xml:space="preserve"> additional</w:t>
      </w:r>
      <w:r w:rsidR="00D86047" w:rsidRPr="00543D14">
        <w:rPr>
          <w:lang w:val="en-GB"/>
        </w:rPr>
        <w:t xml:space="preserve"> evidence</w:t>
      </w:r>
      <w:r w:rsidR="002112AF" w:rsidRPr="00543D14">
        <w:rPr>
          <w:lang w:val="en-GB"/>
        </w:rPr>
        <w:t xml:space="preserve"> </w:t>
      </w:r>
      <w:r w:rsidR="00A770DE">
        <w:rPr>
          <w:lang w:val="en-GB"/>
        </w:rPr>
        <w:t xml:space="preserve">from </w:t>
      </w:r>
      <w:r w:rsidR="00F40757">
        <w:rPr>
          <w:lang w:val="en-GB"/>
        </w:rPr>
        <w:t>students.</w:t>
      </w:r>
    </w:p>
    <w:p w14:paraId="0C596EC5" w14:textId="77777777" w:rsidR="002B70F7" w:rsidRDefault="002B70F7" w:rsidP="00DC3C4C">
      <w:pPr>
        <w:pStyle w:val="BodyText"/>
        <w:ind w:right="114"/>
        <w:jc w:val="both"/>
        <w:rPr>
          <w:lang w:val="en-GB"/>
        </w:rPr>
      </w:pPr>
    </w:p>
    <w:p w14:paraId="4537F539" w14:textId="7E0C9817" w:rsidR="008946ED" w:rsidRPr="002B70F7" w:rsidRDefault="001C54A1" w:rsidP="00573319">
      <w:pPr>
        <w:pStyle w:val="ListParagraph"/>
        <w:tabs>
          <w:tab w:val="left" w:pos="841"/>
          <w:tab w:val="left" w:pos="6187"/>
        </w:tabs>
        <w:ind w:left="0" w:right="113" w:firstLine="0"/>
        <w:rPr>
          <w:b/>
          <w:lang w:val="en-GB"/>
        </w:rPr>
      </w:pPr>
      <w:r>
        <w:rPr>
          <w:b/>
          <w:lang w:val="en-GB"/>
        </w:rPr>
        <w:t>Negative Comments</w:t>
      </w:r>
      <w:r w:rsidR="00573319">
        <w:rPr>
          <w:b/>
          <w:lang w:val="en-GB"/>
        </w:rPr>
        <w:tab/>
      </w:r>
    </w:p>
    <w:p w14:paraId="3B5EB582" w14:textId="4F26C19B" w:rsidR="008C01FD" w:rsidRPr="00543D14" w:rsidRDefault="0071756E" w:rsidP="0064778F">
      <w:pPr>
        <w:pStyle w:val="ListParagraph"/>
        <w:tabs>
          <w:tab w:val="left" w:pos="841"/>
        </w:tabs>
        <w:ind w:left="0" w:right="113" w:firstLine="0"/>
        <w:rPr>
          <w:lang w:val="en-GB"/>
        </w:rPr>
      </w:pPr>
      <w:r>
        <w:rPr>
          <w:lang w:val="en-GB"/>
        </w:rPr>
        <w:t>Deans,</w:t>
      </w:r>
      <w:r w:rsidR="00F40757">
        <w:rPr>
          <w:lang w:val="en-GB"/>
        </w:rPr>
        <w:t xml:space="preserve"> </w:t>
      </w:r>
      <w:r w:rsidR="008946ED" w:rsidRPr="00543D14">
        <w:rPr>
          <w:lang w:val="en-GB"/>
        </w:rPr>
        <w:t>Heads of Schools</w:t>
      </w:r>
      <w:r>
        <w:rPr>
          <w:lang w:val="en-GB"/>
        </w:rPr>
        <w:t xml:space="preserve">, and anyone else with delegated responsibility for overseeing feedback responses, </w:t>
      </w:r>
      <w:r w:rsidR="008946ED">
        <w:rPr>
          <w:lang w:val="en-GB"/>
        </w:rPr>
        <w:t>must</w:t>
      </w:r>
      <w:r w:rsidR="008946ED" w:rsidRPr="00543D14">
        <w:rPr>
          <w:lang w:val="en-GB"/>
        </w:rPr>
        <w:t xml:space="preserve"> act with discretion </w:t>
      </w:r>
      <w:r w:rsidR="008946ED">
        <w:rPr>
          <w:lang w:val="en-GB"/>
        </w:rPr>
        <w:t xml:space="preserve">when reviewing student feedback </w:t>
      </w:r>
      <w:r w:rsidR="008946ED" w:rsidRPr="00543D14">
        <w:rPr>
          <w:lang w:val="en-GB"/>
        </w:rPr>
        <w:t xml:space="preserve">in cases where inappropriate, biased or personal comments have been made by students and should redact names </w:t>
      </w:r>
      <w:r w:rsidR="00395DE0">
        <w:rPr>
          <w:lang w:val="en-GB"/>
        </w:rPr>
        <w:t xml:space="preserve">of lecturers </w:t>
      </w:r>
      <w:r w:rsidR="008946ED" w:rsidRPr="00543D14">
        <w:rPr>
          <w:lang w:val="en-GB"/>
        </w:rPr>
        <w:t xml:space="preserve">and </w:t>
      </w:r>
      <w:r w:rsidR="00A770DE">
        <w:rPr>
          <w:lang w:val="en-GB"/>
        </w:rPr>
        <w:t xml:space="preserve">other </w:t>
      </w:r>
      <w:r w:rsidR="008946ED" w:rsidRPr="00543D14">
        <w:rPr>
          <w:lang w:val="en-GB"/>
        </w:rPr>
        <w:t>details</w:t>
      </w:r>
      <w:r w:rsidR="000222F0">
        <w:rPr>
          <w:lang w:val="en-GB"/>
        </w:rPr>
        <w:t xml:space="preserve"> as appropriate from all report, correspondence, or any other documentation arising from the process</w:t>
      </w:r>
      <w:r w:rsidR="008946ED" w:rsidRPr="00543D14">
        <w:rPr>
          <w:lang w:val="en-GB"/>
        </w:rPr>
        <w:t>.</w:t>
      </w:r>
    </w:p>
    <w:p w14:paraId="5065BD0D" w14:textId="77777777" w:rsidR="00FC0087" w:rsidRDefault="00FC0087" w:rsidP="0064778F">
      <w:pPr>
        <w:tabs>
          <w:tab w:val="left" w:pos="841"/>
        </w:tabs>
        <w:ind w:right="113"/>
        <w:jc w:val="both"/>
        <w:rPr>
          <w:b/>
          <w:lang w:val="en-GB"/>
        </w:rPr>
      </w:pPr>
    </w:p>
    <w:p w14:paraId="4E40F37B" w14:textId="49A84F77" w:rsidR="00A07665" w:rsidRDefault="00A07665" w:rsidP="0064778F">
      <w:pPr>
        <w:tabs>
          <w:tab w:val="left" w:pos="841"/>
        </w:tabs>
        <w:ind w:right="113"/>
        <w:jc w:val="both"/>
        <w:rPr>
          <w:b/>
          <w:lang w:val="en-GB"/>
        </w:rPr>
      </w:pPr>
      <w:r>
        <w:rPr>
          <w:b/>
          <w:lang w:val="en-GB"/>
        </w:rPr>
        <w:t>Gender Bias</w:t>
      </w:r>
    </w:p>
    <w:p w14:paraId="55FFC1B7" w14:textId="0ACA3CCE" w:rsidR="007F7CBE" w:rsidRDefault="00A07665" w:rsidP="0064778F">
      <w:pPr>
        <w:tabs>
          <w:tab w:val="left" w:pos="841"/>
        </w:tabs>
        <w:ind w:right="113"/>
        <w:jc w:val="both"/>
        <w:rPr>
          <w:color w:val="000000"/>
        </w:rPr>
      </w:pPr>
      <w:r>
        <w:rPr>
          <w:color w:val="000000"/>
        </w:rPr>
        <w:t>Schools and units should be mindful of the extensive literature on gender bias in teaching evaluations, which may disadvantage female staff. Accordingly, feedback instruments should be carefully designed to minimiz</w:t>
      </w:r>
      <w:r w:rsidR="001C54A1">
        <w:rPr>
          <w:color w:val="000000"/>
        </w:rPr>
        <w:t xml:space="preserve">e opportunities for </w:t>
      </w:r>
      <w:r>
        <w:rPr>
          <w:color w:val="000000"/>
        </w:rPr>
        <w:t>gender bias, and the possibility of unconscious bias should also be considered when analyzing responses.</w:t>
      </w:r>
    </w:p>
    <w:p w14:paraId="4F1550A3" w14:textId="77777777" w:rsidR="00A07665" w:rsidRDefault="00A07665" w:rsidP="0064778F">
      <w:pPr>
        <w:tabs>
          <w:tab w:val="left" w:pos="841"/>
        </w:tabs>
        <w:ind w:right="113"/>
        <w:jc w:val="both"/>
        <w:rPr>
          <w:b/>
          <w:lang w:val="en-GB"/>
        </w:rPr>
      </w:pPr>
    </w:p>
    <w:p w14:paraId="54A111CC" w14:textId="7975299F" w:rsidR="006453B1" w:rsidRDefault="00EE06BE" w:rsidP="0064778F">
      <w:pPr>
        <w:tabs>
          <w:tab w:val="left" w:pos="841"/>
        </w:tabs>
        <w:ind w:right="113"/>
        <w:jc w:val="both"/>
        <w:rPr>
          <w:b/>
          <w:lang w:val="en-GB"/>
        </w:rPr>
      </w:pPr>
      <w:r>
        <w:rPr>
          <w:b/>
          <w:lang w:val="en-GB"/>
        </w:rPr>
        <w:t>Misuse of Data</w:t>
      </w:r>
    </w:p>
    <w:p w14:paraId="4C371D8B" w14:textId="657663D1" w:rsidR="00EE06BE" w:rsidRDefault="00F96B53" w:rsidP="0064778F">
      <w:pPr>
        <w:tabs>
          <w:tab w:val="left" w:pos="841"/>
        </w:tabs>
        <w:ind w:right="113"/>
        <w:jc w:val="both"/>
        <w:rPr>
          <w:lang w:val="en-GB"/>
        </w:rPr>
      </w:pPr>
      <w:r>
        <w:rPr>
          <w:lang w:val="en-GB"/>
        </w:rPr>
        <w:t>Not</w:t>
      </w:r>
      <w:r w:rsidR="00EE06BE" w:rsidRPr="00F96B53">
        <w:rPr>
          <w:lang w:val="en-GB"/>
        </w:rPr>
        <w:t xml:space="preserve">withstanding the need to ensure any systems used for this purpose are fully compliant with Data Protection </w:t>
      </w:r>
      <w:r w:rsidRPr="00F96B53">
        <w:rPr>
          <w:lang w:val="en-GB"/>
        </w:rPr>
        <w:t xml:space="preserve">regulations </w:t>
      </w:r>
      <w:r w:rsidR="00EE06BE" w:rsidRPr="00F96B53">
        <w:rPr>
          <w:lang w:val="en-GB"/>
        </w:rPr>
        <w:t>(and the GDPR)</w:t>
      </w:r>
      <w:r>
        <w:rPr>
          <w:lang w:val="en-GB"/>
        </w:rPr>
        <w:t xml:space="preserve"> and that the resulting data is managed appropriately, it is also i</w:t>
      </w:r>
      <w:r w:rsidR="005849C2">
        <w:rPr>
          <w:lang w:val="en-GB"/>
        </w:rPr>
        <w:t xml:space="preserve">mportant to recognise that </w:t>
      </w:r>
      <w:r w:rsidR="00BC410F">
        <w:rPr>
          <w:lang w:val="en-GB"/>
        </w:rPr>
        <w:t xml:space="preserve">student feedback surveys have intrinsic limitations and only provide one of many possible insights into the overall learning experience and the operation of a course. </w:t>
      </w:r>
      <w:r w:rsidR="00D23B9E">
        <w:rPr>
          <w:lang w:val="en-GB"/>
        </w:rPr>
        <w:t>The data and information gather</w:t>
      </w:r>
      <w:r w:rsidR="00883D29">
        <w:rPr>
          <w:lang w:val="en-GB"/>
        </w:rPr>
        <w:t xml:space="preserve">ed should not be used for </w:t>
      </w:r>
      <w:r w:rsidR="00D23B9E">
        <w:rPr>
          <w:lang w:val="en-GB"/>
        </w:rPr>
        <w:t>purposes other than that for which it was intended.</w:t>
      </w:r>
    </w:p>
    <w:p w14:paraId="3E82B0F6" w14:textId="77777777" w:rsidR="000362FB" w:rsidRDefault="000362FB" w:rsidP="0064778F">
      <w:pPr>
        <w:tabs>
          <w:tab w:val="left" w:pos="841"/>
        </w:tabs>
        <w:ind w:right="113"/>
        <w:jc w:val="both"/>
        <w:rPr>
          <w:lang w:val="en-GB"/>
        </w:rPr>
      </w:pPr>
    </w:p>
    <w:p w14:paraId="09E0271D" w14:textId="77777777" w:rsidR="00883D29" w:rsidRDefault="00883D29" w:rsidP="0064778F">
      <w:pPr>
        <w:tabs>
          <w:tab w:val="left" w:pos="841"/>
        </w:tabs>
        <w:ind w:right="113"/>
        <w:jc w:val="both"/>
        <w:rPr>
          <w:lang w:val="en-GB"/>
        </w:rPr>
      </w:pPr>
    </w:p>
    <w:p w14:paraId="0BF3774A" w14:textId="77777777" w:rsidR="00883D29" w:rsidRDefault="00883D29" w:rsidP="0064778F">
      <w:pPr>
        <w:tabs>
          <w:tab w:val="left" w:pos="841"/>
        </w:tabs>
        <w:ind w:right="113"/>
        <w:jc w:val="both"/>
        <w:rPr>
          <w:b/>
          <w:lang w:val="en-GB"/>
        </w:rPr>
      </w:pPr>
    </w:p>
    <w:p w14:paraId="5F49E1A2" w14:textId="77777777" w:rsidR="000362FB" w:rsidRDefault="000362FB" w:rsidP="0064778F">
      <w:pPr>
        <w:tabs>
          <w:tab w:val="left" w:pos="841"/>
        </w:tabs>
        <w:ind w:right="113"/>
        <w:jc w:val="both"/>
        <w:rPr>
          <w:b/>
          <w:lang w:val="en-GB"/>
        </w:rPr>
      </w:pPr>
      <w:r w:rsidRPr="000362FB">
        <w:rPr>
          <w:b/>
          <w:lang w:val="en-GB"/>
        </w:rPr>
        <w:t>Actions Arising</w:t>
      </w:r>
    </w:p>
    <w:p w14:paraId="3CDA9970" w14:textId="6A2E3032" w:rsidR="000362FB" w:rsidRPr="000362FB" w:rsidRDefault="000362FB" w:rsidP="0064778F">
      <w:pPr>
        <w:tabs>
          <w:tab w:val="left" w:pos="841"/>
        </w:tabs>
        <w:ind w:right="113"/>
        <w:jc w:val="both"/>
        <w:rPr>
          <w:b/>
          <w:lang w:val="en-GB"/>
        </w:rPr>
      </w:pPr>
      <w:r>
        <w:rPr>
          <w:lang w:val="en-GB"/>
        </w:rPr>
        <w:t>It is important that students (and relevant staff) are informed of any actions arising</w:t>
      </w:r>
      <w:r>
        <w:rPr>
          <w:rStyle w:val="FootnoteReference"/>
          <w:lang w:val="en-GB"/>
        </w:rPr>
        <w:footnoteReference w:id="2"/>
      </w:r>
      <w:r>
        <w:rPr>
          <w:lang w:val="en-GB"/>
        </w:rPr>
        <w:t xml:space="preserve"> from such feedback, or other decisions which have emerged from student consultation and contribution. This illustrates the value in participation and ensures that the process is a valuable aspect of the course delivery/design lifecycle.</w:t>
      </w:r>
    </w:p>
    <w:p w14:paraId="09027658" w14:textId="77777777" w:rsidR="000362FB" w:rsidRDefault="000362FB" w:rsidP="0064778F">
      <w:pPr>
        <w:tabs>
          <w:tab w:val="left" w:pos="841"/>
        </w:tabs>
        <w:ind w:right="113"/>
        <w:jc w:val="both"/>
        <w:rPr>
          <w:b/>
          <w:lang w:val="en-GB"/>
        </w:rPr>
      </w:pPr>
    </w:p>
    <w:p w14:paraId="6F5ECA06" w14:textId="735A1D48" w:rsidR="00C377A9" w:rsidRDefault="00064CA6" w:rsidP="0064778F">
      <w:pPr>
        <w:tabs>
          <w:tab w:val="left" w:pos="841"/>
        </w:tabs>
        <w:ind w:right="113"/>
        <w:jc w:val="both"/>
        <w:rPr>
          <w:b/>
          <w:lang w:val="en-GB"/>
        </w:rPr>
      </w:pPr>
      <w:r>
        <w:rPr>
          <w:b/>
          <w:lang w:val="en-GB"/>
        </w:rPr>
        <w:t xml:space="preserve">Summary Report and </w:t>
      </w:r>
      <w:r w:rsidR="00C377A9" w:rsidRPr="00543D14">
        <w:rPr>
          <w:b/>
          <w:lang w:val="en-GB"/>
        </w:rPr>
        <w:t xml:space="preserve">Compliance </w:t>
      </w:r>
      <w:r w:rsidR="00D4710B" w:rsidRPr="00543D14">
        <w:rPr>
          <w:b/>
          <w:lang w:val="en-GB"/>
        </w:rPr>
        <w:t>Survey</w:t>
      </w:r>
    </w:p>
    <w:p w14:paraId="398D3544" w14:textId="77777777" w:rsidR="00883D29" w:rsidRDefault="006369C1" w:rsidP="0064778F">
      <w:pPr>
        <w:tabs>
          <w:tab w:val="left" w:pos="841"/>
        </w:tabs>
        <w:ind w:right="113"/>
        <w:jc w:val="both"/>
        <w:rPr>
          <w:lang w:val="en-GB"/>
        </w:rPr>
      </w:pPr>
      <w:r w:rsidRPr="00064CA6">
        <w:rPr>
          <w:lang w:val="en-GB"/>
        </w:rPr>
        <w:t xml:space="preserve">A report is to be submitted </w:t>
      </w:r>
      <w:r w:rsidR="00064CA6">
        <w:rPr>
          <w:lang w:val="en-GB"/>
        </w:rPr>
        <w:t xml:space="preserve">annually to the Registrar’s Office </w:t>
      </w:r>
      <w:r w:rsidRPr="00064CA6">
        <w:rPr>
          <w:lang w:val="en-GB"/>
        </w:rPr>
        <w:t>by each Head of School</w:t>
      </w:r>
      <w:r w:rsidR="00064CA6">
        <w:rPr>
          <w:lang w:val="en-GB"/>
        </w:rPr>
        <w:t xml:space="preserve"> and Dean, registering the following information: Module Code; </w:t>
      </w:r>
      <w:r w:rsidR="002F348A">
        <w:rPr>
          <w:lang w:val="en-GB"/>
        </w:rPr>
        <w:t xml:space="preserve">Feedback </w:t>
      </w:r>
      <w:r w:rsidR="00064CA6">
        <w:rPr>
          <w:lang w:val="en-GB"/>
        </w:rPr>
        <w:t xml:space="preserve">Method; Timing; Participation Rate; Issues </w:t>
      </w:r>
      <w:r w:rsidR="002F348A">
        <w:rPr>
          <w:lang w:val="en-GB"/>
        </w:rPr>
        <w:t>I</w:t>
      </w:r>
      <w:r w:rsidR="00064CA6">
        <w:rPr>
          <w:lang w:val="en-GB"/>
        </w:rPr>
        <w:t xml:space="preserve">dentified; Actions </w:t>
      </w:r>
      <w:r w:rsidR="002F348A">
        <w:rPr>
          <w:lang w:val="en-GB"/>
        </w:rPr>
        <w:t>R</w:t>
      </w:r>
      <w:r w:rsidR="00064CA6">
        <w:rPr>
          <w:lang w:val="en-GB"/>
        </w:rPr>
        <w:t xml:space="preserve">esulting; Feedback to Students. An example template is shown. </w:t>
      </w:r>
    </w:p>
    <w:p w14:paraId="560DA6EC" w14:textId="77777777" w:rsidR="00883D29" w:rsidRDefault="00883D29" w:rsidP="0064778F">
      <w:pPr>
        <w:tabs>
          <w:tab w:val="left" w:pos="841"/>
        </w:tabs>
        <w:ind w:right="113"/>
        <w:jc w:val="both"/>
        <w:rPr>
          <w:lang w:val="en-GB"/>
        </w:rPr>
      </w:pPr>
    </w:p>
    <w:p w14:paraId="4BAB9AEC" w14:textId="794137FC" w:rsidR="00064CA6" w:rsidRDefault="000362FB" w:rsidP="0064778F">
      <w:pPr>
        <w:tabs>
          <w:tab w:val="left" w:pos="841"/>
        </w:tabs>
        <w:ind w:right="113"/>
        <w:jc w:val="both"/>
        <w:rPr>
          <w:lang w:val="en-GB"/>
        </w:rPr>
      </w:pPr>
      <w:r>
        <w:rPr>
          <w:lang w:val="en-GB"/>
        </w:rPr>
        <w:t xml:space="preserve">The Quality Office, from time to time, may undertake an </w:t>
      </w:r>
      <w:r>
        <w:rPr>
          <w:rFonts w:ascii="Helvetica" w:eastAsia="Helvetica" w:hAnsi="Helvetica" w:cs="Helvetica"/>
          <w:lang w:val="en-GB"/>
        </w:rPr>
        <w:t>‘</w:t>
      </w:r>
      <w:r>
        <w:rPr>
          <w:lang w:val="en-GB"/>
        </w:rPr>
        <w:t>audit</w:t>
      </w:r>
      <w:r>
        <w:rPr>
          <w:rFonts w:ascii="Helvetica" w:eastAsia="Helvetica" w:hAnsi="Helvetica" w:cs="Helvetica"/>
          <w:lang w:val="en-GB"/>
        </w:rPr>
        <w:t>’</w:t>
      </w:r>
      <w:r>
        <w:rPr>
          <w:lang w:val="en-GB"/>
        </w:rPr>
        <w:t xml:space="preserve"> of the extent to which feedback processes are in place and will require assurance that the appropriate procedures have been followed to ensure that the institution is also in compliance with the expectations of national and European quality frameworks.</w:t>
      </w:r>
    </w:p>
    <w:p w14:paraId="7749435F" w14:textId="77777777" w:rsidR="00883D29" w:rsidRDefault="00883D29" w:rsidP="0064778F">
      <w:pPr>
        <w:tabs>
          <w:tab w:val="left" w:pos="841"/>
        </w:tabs>
        <w:ind w:right="113"/>
        <w:jc w:val="both"/>
        <w:rPr>
          <w:lang w:val="en-GB"/>
        </w:rPr>
      </w:pPr>
    </w:p>
    <w:p w14:paraId="723FB6C6" w14:textId="77777777" w:rsidR="00064CA6" w:rsidRDefault="00064CA6" w:rsidP="00F24942">
      <w:pPr>
        <w:tabs>
          <w:tab w:val="left" w:pos="841"/>
        </w:tabs>
        <w:ind w:right="113"/>
        <w:rPr>
          <w:lang w:val="en-GB"/>
        </w:rPr>
      </w:pPr>
    </w:p>
    <w:tbl>
      <w:tblPr>
        <w:tblStyle w:val="TableGrid"/>
        <w:tblW w:w="9464" w:type="dxa"/>
        <w:tblLayout w:type="fixed"/>
        <w:tblLook w:val="04A0" w:firstRow="1" w:lastRow="0" w:firstColumn="1" w:lastColumn="0" w:noHBand="0" w:noVBand="1"/>
      </w:tblPr>
      <w:tblGrid>
        <w:gridCol w:w="1015"/>
        <w:gridCol w:w="502"/>
        <w:gridCol w:w="502"/>
        <w:gridCol w:w="499"/>
        <w:gridCol w:w="459"/>
        <w:gridCol w:w="567"/>
        <w:gridCol w:w="533"/>
        <w:gridCol w:w="567"/>
        <w:gridCol w:w="1701"/>
        <w:gridCol w:w="2552"/>
        <w:gridCol w:w="567"/>
      </w:tblGrid>
      <w:tr w:rsidR="00064CA6" w14:paraId="047E35D4" w14:textId="77777777" w:rsidTr="00064CA6">
        <w:tc>
          <w:tcPr>
            <w:tcW w:w="1015" w:type="dxa"/>
            <w:tcBorders>
              <w:top w:val="nil"/>
              <w:left w:val="nil"/>
            </w:tcBorders>
          </w:tcPr>
          <w:p w14:paraId="79E45DC0" w14:textId="77777777" w:rsidR="00064CA6" w:rsidRDefault="00064CA6" w:rsidP="00F24942">
            <w:pPr>
              <w:tabs>
                <w:tab w:val="left" w:pos="841"/>
              </w:tabs>
              <w:ind w:right="113"/>
              <w:rPr>
                <w:lang w:val="en-GB"/>
              </w:rPr>
            </w:pPr>
          </w:p>
        </w:tc>
        <w:tc>
          <w:tcPr>
            <w:tcW w:w="1962" w:type="dxa"/>
            <w:gridSpan w:val="4"/>
          </w:tcPr>
          <w:p w14:paraId="7C2FEFCF" w14:textId="67740288" w:rsidR="00064CA6" w:rsidRDefault="00064CA6" w:rsidP="00F24942">
            <w:pPr>
              <w:tabs>
                <w:tab w:val="left" w:pos="841"/>
              </w:tabs>
              <w:ind w:right="113"/>
              <w:rPr>
                <w:lang w:val="en-GB"/>
              </w:rPr>
            </w:pPr>
            <w:r>
              <w:rPr>
                <w:lang w:val="en-GB"/>
              </w:rPr>
              <w:t>Evaluation Method</w:t>
            </w:r>
          </w:p>
        </w:tc>
        <w:tc>
          <w:tcPr>
            <w:tcW w:w="1100" w:type="dxa"/>
            <w:gridSpan w:val="2"/>
          </w:tcPr>
          <w:p w14:paraId="3AD6632E" w14:textId="5289E5EC" w:rsidR="00064CA6" w:rsidRDefault="00064CA6" w:rsidP="00F24942">
            <w:pPr>
              <w:tabs>
                <w:tab w:val="left" w:pos="841"/>
              </w:tabs>
              <w:ind w:right="113"/>
              <w:rPr>
                <w:lang w:val="en-GB"/>
              </w:rPr>
            </w:pPr>
            <w:r>
              <w:rPr>
                <w:lang w:val="en-GB"/>
              </w:rPr>
              <w:t>Timing</w:t>
            </w:r>
          </w:p>
        </w:tc>
        <w:tc>
          <w:tcPr>
            <w:tcW w:w="567" w:type="dxa"/>
          </w:tcPr>
          <w:p w14:paraId="344C7738" w14:textId="77777777" w:rsidR="00064CA6" w:rsidRDefault="00064CA6" w:rsidP="00F24942">
            <w:pPr>
              <w:tabs>
                <w:tab w:val="left" w:pos="841"/>
              </w:tabs>
              <w:ind w:right="113"/>
              <w:rPr>
                <w:lang w:val="en-GB"/>
              </w:rPr>
            </w:pPr>
          </w:p>
        </w:tc>
        <w:tc>
          <w:tcPr>
            <w:tcW w:w="1701" w:type="dxa"/>
            <w:tcBorders>
              <w:top w:val="nil"/>
              <w:right w:val="nil"/>
            </w:tcBorders>
          </w:tcPr>
          <w:p w14:paraId="4DA7B207" w14:textId="2081F2CD" w:rsidR="00064CA6" w:rsidRDefault="00064CA6" w:rsidP="00F24942">
            <w:pPr>
              <w:tabs>
                <w:tab w:val="left" w:pos="841"/>
              </w:tabs>
              <w:ind w:right="113"/>
              <w:rPr>
                <w:lang w:val="en-GB"/>
              </w:rPr>
            </w:pPr>
          </w:p>
        </w:tc>
        <w:tc>
          <w:tcPr>
            <w:tcW w:w="2552" w:type="dxa"/>
            <w:tcBorders>
              <w:top w:val="nil"/>
              <w:left w:val="nil"/>
              <w:right w:val="nil"/>
            </w:tcBorders>
          </w:tcPr>
          <w:p w14:paraId="356599F9" w14:textId="77777777" w:rsidR="00064CA6" w:rsidRDefault="00064CA6" w:rsidP="00F24942">
            <w:pPr>
              <w:tabs>
                <w:tab w:val="left" w:pos="841"/>
              </w:tabs>
              <w:ind w:right="113"/>
              <w:rPr>
                <w:lang w:val="en-GB"/>
              </w:rPr>
            </w:pPr>
          </w:p>
        </w:tc>
        <w:tc>
          <w:tcPr>
            <w:tcW w:w="567" w:type="dxa"/>
            <w:tcBorders>
              <w:top w:val="nil"/>
              <w:left w:val="nil"/>
              <w:right w:val="nil"/>
            </w:tcBorders>
          </w:tcPr>
          <w:p w14:paraId="15D0C0B9" w14:textId="77777777" w:rsidR="00064CA6" w:rsidRDefault="00064CA6" w:rsidP="00F24942">
            <w:pPr>
              <w:tabs>
                <w:tab w:val="left" w:pos="841"/>
              </w:tabs>
              <w:ind w:right="113"/>
              <w:rPr>
                <w:lang w:val="en-GB"/>
              </w:rPr>
            </w:pPr>
          </w:p>
        </w:tc>
      </w:tr>
      <w:tr w:rsidR="00064CA6" w:rsidRPr="00064CA6" w14:paraId="492BCC5A" w14:textId="77777777" w:rsidTr="00064CA6">
        <w:trPr>
          <w:cantSplit/>
          <w:trHeight w:val="1331"/>
        </w:trPr>
        <w:tc>
          <w:tcPr>
            <w:tcW w:w="1015" w:type="dxa"/>
            <w:shd w:val="clear" w:color="auto" w:fill="D6E3BC" w:themeFill="accent3" w:themeFillTint="66"/>
          </w:tcPr>
          <w:p w14:paraId="78E3B777" w14:textId="688C5B03" w:rsidR="00064CA6" w:rsidRPr="00064CA6" w:rsidRDefault="00064CA6" w:rsidP="00F24942">
            <w:pPr>
              <w:tabs>
                <w:tab w:val="left" w:pos="841"/>
              </w:tabs>
              <w:ind w:right="113"/>
              <w:rPr>
                <w:sz w:val="20"/>
                <w:szCs w:val="20"/>
                <w:lang w:val="en-GB"/>
              </w:rPr>
            </w:pPr>
            <w:r w:rsidRPr="00064CA6">
              <w:rPr>
                <w:sz w:val="20"/>
                <w:szCs w:val="20"/>
                <w:lang w:val="en-GB"/>
              </w:rPr>
              <w:t>Module</w:t>
            </w:r>
          </w:p>
        </w:tc>
        <w:tc>
          <w:tcPr>
            <w:tcW w:w="502" w:type="dxa"/>
            <w:shd w:val="clear" w:color="auto" w:fill="D6E3BC" w:themeFill="accent3" w:themeFillTint="66"/>
            <w:textDirection w:val="btLr"/>
          </w:tcPr>
          <w:p w14:paraId="53024BF0" w14:textId="6B8C6AFD" w:rsidR="00064CA6" w:rsidRPr="00064CA6" w:rsidRDefault="00064CA6" w:rsidP="00064CA6">
            <w:pPr>
              <w:tabs>
                <w:tab w:val="left" w:pos="841"/>
              </w:tabs>
              <w:ind w:left="113" w:right="113"/>
              <w:rPr>
                <w:sz w:val="20"/>
                <w:szCs w:val="20"/>
                <w:lang w:val="en-GB"/>
              </w:rPr>
            </w:pPr>
            <w:r w:rsidRPr="00064CA6">
              <w:rPr>
                <w:sz w:val="20"/>
                <w:szCs w:val="20"/>
                <w:lang w:val="en-GB"/>
              </w:rPr>
              <w:t>Paper</w:t>
            </w:r>
          </w:p>
        </w:tc>
        <w:tc>
          <w:tcPr>
            <w:tcW w:w="502" w:type="dxa"/>
            <w:shd w:val="clear" w:color="auto" w:fill="D6E3BC" w:themeFill="accent3" w:themeFillTint="66"/>
            <w:textDirection w:val="btLr"/>
          </w:tcPr>
          <w:p w14:paraId="1A280BD5" w14:textId="04F15124" w:rsidR="00064CA6" w:rsidRPr="00064CA6" w:rsidRDefault="00064CA6" w:rsidP="00064CA6">
            <w:pPr>
              <w:tabs>
                <w:tab w:val="left" w:pos="841"/>
              </w:tabs>
              <w:ind w:left="113" w:right="113"/>
              <w:rPr>
                <w:sz w:val="20"/>
                <w:szCs w:val="20"/>
                <w:lang w:val="en-GB"/>
              </w:rPr>
            </w:pPr>
            <w:r w:rsidRPr="00064CA6">
              <w:rPr>
                <w:sz w:val="20"/>
                <w:szCs w:val="20"/>
                <w:lang w:val="en-GB"/>
              </w:rPr>
              <w:t>Blackboard</w:t>
            </w:r>
          </w:p>
        </w:tc>
        <w:tc>
          <w:tcPr>
            <w:tcW w:w="499" w:type="dxa"/>
            <w:shd w:val="clear" w:color="auto" w:fill="D6E3BC" w:themeFill="accent3" w:themeFillTint="66"/>
            <w:textDirection w:val="btLr"/>
          </w:tcPr>
          <w:p w14:paraId="0D5AB576" w14:textId="38C294D7" w:rsidR="00064CA6" w:rsidRPr="00064CA6" w:rsidRDefault="00064CA6" w:rsidP="00064CA6">
            <w:pPr>
              <w:tabs>
                <w:tab w:val="left" w:pos="841"/>
              </w:tabs>
              <w:ind w:left="113" w:right="113"/>
              <w:rPr>
                <w:sz w:val="20"/>
                <w:szCs w:val="20"/>
                <w:lang w:val="en-GB"/>
              </w:rPr>
            </w:pPr>
            <w:r w:rsidRPr="00064CA6">
              <w:rPr>
                <w:sz w:val="20"/>
                <w:szCs w:val="20"/>
                <w:lang w:val="en-GB"/>
              </w:rPr>
              <w:t>Other Online</w:t>
            </w:r>
          </w:p>
        </w:tc>
        <w:tc>
          <w:tcPr>
            <w:tcW w:w="459" w:type="dxa"/>
            <w:shd w:val="clear" w:color="auto" w:fill="D6E3BC" w:themeFill="accent3" w:themeFillTint="66"/>
            <w:textDirection w:val="btLr"/>
          </w:tcPr>
          <w:p w14:paraId="6BF0237E" w14:textId="1BD4CFE1" w:rsidR="00064CA6" w:rsidRPr="00064CA6" w:rsidRDefault="00064CA6" w:rsidP="00064CA6">
            <w:pPr>
              <w:tabs>
                <w:tab w:val="left" w:pos="841"/>
              </w:tabs>
              <w:ind w:left="113" w:right="113"/>
              <w:rPr>
                <w:sz w:val="20"/>
                <w:szCs w:val="20"/>
                <w:lang w:val="en-GB"/>
              </w:rPr>
            </w:pPr>
            <w:r w:rsidRPr="00064CA6">
              <w:rPr>
                <w:sz w:val="20"/>
                <w:szCs w:val="20"/>
                <w:lang w:val="en-GB"/>
              </w:rPr>
              <w:t>Other</w:t>
            </w:r>
          </w:p>
        </w:tc>
        <w:tc>
          <w:tcPr>
            <w:tcW w:w="567" w:type="dxa"/>
            <w:shd w:val="clear" w:color="auto" w:fill="D6E3BC" w:themeFill="accent3" w:themeFillTint="66"/>
            <w:textDirection w:val="btLr"/>
          </w:tcPr>
          <w:p w14:paraId="768E7861" w14:textId="4E37A110" w:rsidR="00064CA6" w:rsidRPr="00064CA6" w:rsidRDefault="00064CA6" w:rsidP="00064CA6">
            <w:pPr>
              <w:tabs>
                <w:tab w:val="left" w:pos="841"/>
              </w:tabs>
              <w:ind w:left="113" w:right="113"/>
              <w:rPr>
                <w:sz w:val="20"/>
                <w:szCs w:val="20"/>
                <w:lang w:val="en-GB"/>
              </w:rPr>
            </w:pPr>
            <w:r w:rsidRPr="00064CA6">
              <w:rPr>
                <w:sz w:val="20"/>
                <w:szCs w:val="20"/>
                <w:lang w:val="en-GB"/>
              </w:rPr>
              <w:t>Mid-</w:t>
            </w:r>
            <w:proofErr w:type="spellStart"/>
            <w:r w:rsidRPr="00064CA6">
              <w:rPr>
                <w:sz w:val="20"/>
                <w:szCs w:val="20"/>
                <w:lang w:val="en-GB"/>
              </w:rPr>
              <w:t>Sem</w:t>
            </w:r>
            <w:proofErr w:type="spellEnd"/>
          </w:p>
        </w:tc>
        <w:tc>
          <w:tcPr>
            <w:tcW w:w="533" w:type="dxa"/>
            <w:shd w:val="clear" w:color="auto" w:fill="D6E3BC" w:themeFill="accent3" w:themeFillTint="66"/>
            <w:textDirection w:val="btLr"/>
          </w:tcPr>
          <w:p w14:paraId="52AD18C0" w14:textId="472AB0BD" w:rsidR="00064CA6" w:rsidRPr="00064CA6" w:rsidRDefault="00064CA6" w:rsidP="00064CA6">
            <w:pPr>
              <w:tabs>
                <w:tab w:val="left" w:pos="841"/>
              </w:tabs>
              <w:ind w:left="113" w:right="113"/>
              <w:rPr>
                <w:sz w:val="20"/>
                <w:szCs w:val="20"/>
                <w:lang w:val="en-GB"/>
              </w:rPr>
            </w:pPr>
            <w:r w:rsidRPr="00064CA6">
              <w:rPr>
                <w:sz w:val="20"/>
                <w:szCs w:val="20"/>
                <w:lang w:val="en-GB"/>
              </w:rPr>
              <w:t>End-</w:t>
            </w:r>
            <w:proofErr w:type="spellStart"/>
            <w:r w:rsidRPr="00064CA6">
              <w:rPr>
                <w:sz w:val="20"/>
                <w:szCs w:val="20"/>
                <w:lang w:val="en-GB"/>
              </w:rPr>
              <w:t>Sem</w:t>
            </w:r>
            <w:proofErr w:type="spellEnd"/>
          </w:p>
        </w:tc>
        <w:tc>
          <w:tcPr>
            <w:tcW w:w="567" w:type="dxa"/>
            <w:shd w:val="clear" w:color="auto" w:fill="D6E3BC" w:themeFill="accent3" w:themeFillTint="66"/>
            <w:textDirection w:val="btLr"/>
          </w:tcPr>
          <w:p w14:paraId="62A5171F" w14:textId="793D4484" w:rsidR="00064CA6" w:rsidRPr="00064CA6" w:rsidRDefault="00064CA6" w:rsidP="00064CA6">
            <w:pPr>
              <w:tabs>
                <w:tab w:val="left" w:pos="841"/>
              </w:tabs>
              <w:ind w:left="113" w:right="113"/>
              <w:rPr>
                <w:sz w:val="20"/>
                <w:szCs w:val="20"/>
                <w:lang w:val="en-GB"/>
              </w:rPr>
            </w:pPr>
            <w:r>
              <w:rPr>
                <w:sz w:val="20"/>
                <w:szCs w:val="20"/>
                <w:lang w:val="en-GB"/>
              </w:rPr>
              <w:t>Return rate (%)</w:t>
            </w:r>
          </w:p>
        </w:tc>
        <w:tc>
          <w:tcPr>
            <w:tcW w:w="1701" w:type="dxa"/>
            <w:shd w:val="clear" w:color="auto" w:fill="D6E3BC" w:themeFill="accent3" w:themeFillTint="66"/>
          </w:tcPr>
          <w:p w14:paraId="559B4CCC" w14:textId="74866387" w:rsidR="00064CA6" w:rsidRPr="00064CA6" w:rsidRDefault="00064CA6" w:rsidP="00F24942">
            <w:pPr>
              <w:tabs>
                <w:tab w:val="left" w:pos="841"/>
              </w:tabs>
              <w:ind w:right="113"/>
              <w:rPr>
                <w:sz w:val="20"/>
                <w:szCs w:val="20"/>
                <w:lang w:val="en-GB"/>
              </w:rPr>
            </w:pPr>
            <w:r w:rsidRPr="00064CA6">
              <w:rPr>
                <w:sz w:val="20"/>
                <w:szCs w:val="20"/>
                <w:lang w:val="en-GB"/>
              </w:rPr>
              <w:t>Issues identified</w:t>
            </w:r>
          </w:p>
        </w:tc>
        <w:tc>
          <w:tcPr>
            <w:tcW w:w="2552" w:type="dxa"/>
            <w:shd w:val="clear" w:color="auto" w:fill="D6E3BC" w:themeFill="accent3" w:themeFillTint="66"/>
          </w:tcPr>
          <w:p w14:paraId="41DE2027" w14:textId="5E99C05E" w:rsidR="00064CA6" w:rsidRPr="00064CA6" w:rsidRDefault="00064CA6" w:rsidP="00F24942">
            <w:pPr>
              <w:tabs>
                <w:tab w:val="left" w:pos="841"/>
              </w:tabs>
              <w:ind w:right="113"/>
              <w:rPr>
                <w:sz w:val="20"/>
                <w:szCs w:val="20"/>
                <w:lang w:val="en-GB"/>
              </w:rPr>
            </w:pPr>
            <w:r w:rsidRPr="00064CA6">
              <w:rPr>
                <w:sz w:val="20"/>
                <w:szCs w:val="20"/>
                <w:lang w:val="en-GB"/>
              </w:rPr>
              <w:t>Actions</w:t>
            </w:r>
          </w:p>
        </w:tc>
        <w:tc>
          <w:tcPr>
            <w:tcW w:w="567" w:type="dxa"/>
            <w:shd w:val="clear" w:color="auto" w:fill="D6E3BC" w:themeFill="accent3" w:themeFillTint="66"/>
            <w:textDirection w:val="btLr"/>
          </w:tcPr>
          <w:p w14:paraId="01843D2E" w14:textId="4B75B17C" w:rsidR="00064CA6" w:rsidRPr="00064CA6" w:rsidRDefault="00064CA6" w:rsidP="00064CA6">
            <w:pPr>
              <w:tabs>
                <w:tab w:val="left" w:pos="841"/>
              </w:tabs>
              <w:ind w:left="113" w:right="113"/>
              <w:rPr>
                <w:sz w:val="20"/>
                <w:szCs w:val="20"/>
                <w:lang w:val="en-GB"/>
              </w:rPr>
            </w:pPr>
            <w:r w:rsidRPr="00064CA6">
              <w:rPr>
                <w:sz w:val="20"/>
                <w:szCs w:val="20"/>
                <w:lang w:val="en-GB"/>
              </w:rPr>
              <w:t>Feedback to students</w:t>
            </w:r>
          </w:p>
        </w:tc>
      </w:tr>
      <w:tr w:rsidR="00064CA6" w14:paraId="04C41861" w14:textId="77777777" w:rsidTr="00064CA6">
        <w:tc>
          <w:tcPr>
            <w:tcW w:w="1015" w:type="dxa"/>
          </w:tcPr>
          <w:p w14:paraId="304B6CD8" w14:textId="7D26CBFE" w:rsidR="00064CA6" w:rsidRPr="00064CA6" w:rsidRDefault="00064CA6" w:rsidP="00F24942">
            <w:pPr>
              <w:tabs>
                <w:tab w:val="left" w:pos="841"/>
              </w:tabs>
              <w:ind w:right="113"/>
              <w:rPr>
                <w:sz w:val="20"/>
                <w:szCs w:val="20"/>
                <w:lang w:val="en-GB"/>
              </w:rPr>
            </w:pPr>
            <w:r w:rsidRPr="00064CA6">
              <w:rPr>
                <w:sz w:val="20"/>
                <w:szCs w:val="20"/>
                <w:lang w:val="en-GB"/>
              </w:rPr>
              <w:t>XYZ171</w:t>
            </w:r>
          </w:p>
        </w:tc>
        <w:tc>
          <w:tcPr>
            <w:tcW w:w="502" w:type="dxa"/>
          </w:tcPr>
          <w:p w14:paraId="589B58BC" w14:textId="77777777" w:rsidR="00064CA6" w:rsidRDefault="00064CA6" w:rsidP="00F24942">
            <w:pPr>
              <w:tabs>
                <w:tab w:val="left" w:pos="841"/>
              </w:tabs>
              <w:ind w:right="113"/>
              <w:rPr>
                <w:lang w:val="en-GB"/>
              </w:rPr>
            </w:pPr>
          </w:p>
        </w:tc>
        <w:tc>
          <w:tcPr>
            <w:tcW w:w="502" w:type="dxa"/>
          </w:tcPr>
          <w:p w14:paraId="5AA7FBF6" w14:textId="546CC955" w:rsidR="00064CA6" w:rsidRDefault="00064CA6" w:rsidP="00F24942">
            <w:pPr>
              <w:tabs>
                <w:tab w:val="left" w:pos="841"/>
              </w:tabs>
              <w:ind w:right="113"/>
              <w:rPr>
                <w:lang w:val="en-GB"/>
              </w:rPr>
            </w:pPr>
            <w:r>
              <w:rPr>
                <w:lang w:val="en-GB"/>
              </w:rPr>
              <w:sym w:font="Wingdings" w:char="F0FC"/>
            </w:r>
          </w:p>
        </w:tc>
        <w:tc>
          <w:tcPr>
            <w:tcW w:w="499" w:type="dxa"/>
          </w:tcPr>
          <w:p w14:paraId="7979FA22" w14:textId="77777777" w:rsidR="00064CA6" w:rsidRDefault="00064CA6" w:rsidP="00F24942">
            <w:pPr>
              <w:tabs>
                <w:tab w:val="left" w:pos="841"/>
              </w:tabs>
              <w:ind w:right="113"/>
              <w:rPr>
                <w:lang w:val="en-GB"/>
              </w:rPr>
            </w:pPr>
          </w:p>
        </w:tc>
        <w:tc>
          <w:tcPr>
            <w:tcW w:w="459" w:type="dxa"/>
          </w:tcPr>
          <w:p w14:paraId="577DEE86" w14:textId="77777777" w:rsidR="00064CA6" w:rsidRDefault="00064CA6" w:rsidP="00F24942">
            <w:pPr>
              <w:tabs>
                <w:tab w:val="left" w:pos="841"/>
              </w:tabs>
              <w:ind w:right="113"/>
              <w:rPr>
                <w:lang w:val="en-GB"/>
              </w:rPr>
            </w:pPr>
          </w:p>
        </w:tc>
        <w:tc>
          <w:tcPr>
            <w:tcW w:w="567" w:type="dxa"/>
            <w:shd w:val="clear" w:color="auto" w:fill="BFBFBF" w:themeFill="background1" w:themeFillShade="BF"/>
          </w:tcPr>
          <w:p w14:paraId="15347468" w14:textId="77777777" w:rsidR="00064CA6" w:rsidRDefault="00064CA6" w:rsidP="00F24942">
            <w:pPr>
              <w:tabs>
                <w:tab w:val="left" w:pos="841"/>
              </w:tabs>
              <w:ind w:right="113"/>
              <w:rPr>
                <w:lang w:val="en-GB"/>
              </w:rPr>
            </w:pPr>
          </w:p>
        </w:tc>
        <w:tc>
          <w:tcPr>
            <w:tcW w:w="533" w:type="dxa"/>
            <w:shd w:val="clear" w:color="auto" w:fill="BFBFBF" w:themeFill="background1" w:themeFillShade="BF"/>
          </w:tcPr>
          <w:p w14:paraId="18627893" w14:textId="4E237A0F" w:rsidR="00064CA6" w:rsidRDefault="00064CA6" w:rsidP="00F24942">
            <w:pPr>
              <w:tabs>
                <w:tab w:val="left" w:pos="841"/>
              </w:tabs>
              <w:ind w:right="113"/>
              <w:rPr>
                <w:lang w:val="en-GB"/>
              </w:rPr>
            </w:pPr>
            <w:r>
              <w:rPr>
                <w:lang w:val="en-GB"/>
              </w:rPr>
              <w:sym w:font="Wingdings" w:char="F0FC"/>
            </w:r>
          </w:p>
        </w:tc>
        <w:tc>
          <w:tcPr>
            <w:tcW w:w="567" w:type="dxa"/>
          </w:tcPr>
          <w:p w14:paraId="0813A6CB" w14:textId="3E7A7C75" w:rsidR="00064CA6" w:rsidRPr="00064CA6" w:rsidRDefault="00064CA6" w:rsidP="00F24942">
            <w:pPr>
              <w:tabs>
                <w:tab w:val="left" w:pos="841"/>
              </w:tabs>
              <w:ind w:right="113"/>
              <w:rPr>
                <w:sz w:val="20"/>
                <w:szCs w:val="20"/>
                <w:lang w:val="en-GB"/>
              </w:rPr>
            </w:pPr>
            <w:r>
              <w:rPr>
                <w:sz w:val="20"/>
                <w:szCs w:val="20"/>
                <w:lang w:val="en-GB"/>
              </w:rPr>
              <w:t>70</w:t>
            </w:r>
          </w:p>
        </w:tc>
        <w:tc>
          <w:tcPr>
            <w:tcW w:w="1701" w:type="dxa"/>
          </w:tcPr>
          <w:p w14:paraId="14B85B20" w14:textId="7274DB72" w:rsidR="00064CA6" w:rsidRPr="00064CA6" w:rsidRDefault="00064CA6" w:rsidP="00F24942">
            <w:pPr>
              <w:tabs>
                <w:tab w:val="left" w:pos="841"/>
              </w:tabs>
              <w:ind w:right="113"/>
              <w:rPr>
                <w:sz w:val="20"/>
                <w:szCs w:val="20"/>
                <w:lang w:val="en-GB"/>
              </w:rPr>
            </w:pPr>
            <w:r w:rsidRPr="00064CA6">
              <w:rPr>
                <w:sz w:val="20"/>
                <w:szCs w:val="20"/>
                <w:lang w:val="en-GB"/>
              </w:rPr>
              <w:t>Volume of reading materials</w:t>
            </w:r>
          </w:p>
        </w:tc>
        <w:tc>
          <w:tcPr>
            <w:tcW w:w="2552" w:type="dxa"/>
          </w:tcPr>
          <w:p w14:paraId="7F8C852E" w14:textId="125E98AA" w:rsidR="00064CA6" w:rsidRPr="00064CA6" w:rsidRDefault="00064CA6" w:rsidP="00F24942">
            <w:pPr>
              <w:tabs>
                <w:tab w:val="left" w:pos="841"/>
              </w:tabs>
              <w:ind w:right="113"/>
              <w:rPr>
                <w:sz w:val="20"/>
                <w:szCs w:val="20"/>
                <w:lang w:val="en-GB"/>
              </w:rPr>
            </w:pPr>
            <w:r w:rsidRPr="00064CA6">
              <w:rPr>
                <w:sz w:val="20"/>
                <w:szCs w:val="20"/>
                <w:lang w:val="en-GB"/>
              </w:rPr>
              <w:t>Reviewed for next year</w:t>
            </w:r>
          </w:p>
        </w:tc>
        <w:tc>
          <w:tcPr>
            <w:tcW w:w="567" w:type="dxa"/>
          </w:tcPr>
          <w:p w14:paraId="4CDE3C82" w14:textId="014A2CE1" w:rsidR="00064CA6" w:rsidRDefault="00064CA6" w:rsidP="00F24942">
            <w:pPr>
              <w:tabs>
                <w:tab w:val="left" w:pos="841"/>
              </w:tabs>
              <w:ind w:right="113"/>
              <w:rPr>
                <w:lang w:val="en-GB"/>
              </w:rPr>
            </w:pPr>
            <w:r>
              <w:rPr>
                <w:lang w:val="en-GB"/>
              </w:rPr>
              <w:sym w:font="Wingdings" w:char="F0FC"/>
            </w:r>
          </w:p>
        </w:tc>
      </w:tr>
      <w:tr w:rsidR="00064CA6" w14:paraId="474C2B01" w14:textId="77777777" w:rsidTr="00064CA6">
        <w:tc>
          <w:tcPr>
            <w:tcW w:w="1015" w:type="dxa"/>
          </w:tcPr>
          <w:p w14:paraId="71E7E9D9" w14:textId="15A860A0" w:rsidR="00064CA6" w:rsidRPr="00064CA6" w:rsidRDefault="00064CA6" w:rsidP="00F24942">
            <w:pPr>
              <w:tabs>
                <w:tab w:val="left" w:pos="841"/>
              </w:tabs>
              <w:ind w:right="113"/>
              <w:rPr>
                <w:sz w:val="20"/>
                <w:szCs w:val="20"/>
                <w:lang w:val="en-GB"/>
              </w:rPr>
            </w:pPr>
            <w:r w:rsidRPr="00064CA6">
              <w:rPr>
                <w:sz w:val="20"/>
                <w:szCs w:val="20"/>
                <w:lang w:val="en-GB"/>
              </w:rPr>
              <w:t>XYZ172</w:t>
            </w:r>
          </w:p>
        </w:tc>
        <w:tc>
          <w:tcPr>
            <w:tcW w:w="502" w:type="dxa"/>
          </w:tcPr>
          <w:p w14:paraId="690314E7" w14:textId="77777777" w:rsidR="00064CA6" w:rsidRDefault="00064CA6" w:rsidP="00F24942">
            <w:pPr>
              <w:tabs>
                <w:tab w:val="left" w:pos="841"/>
              </w:tabs>
              <w:ind w:right="113"/>
              <w:rPr>
                <w:lang w:val="en-GB"/>
              </w:rPr>
            </w:pPr>
          </w:p>
        </w:tc>
        <w:tc>
          <w:tcPr>
            <w:tcW w:w="502" w:type="dxa"/>
          </w:tcPr>
          <w:p w14:paraId="3645D17D" w14:textId="77777777" w:rsidR="00064CA6" w:rsidRDefault="00064CA6" w:rsidP="00F24942">
            <w:pPr>
              <w:tabs>
                <w:tab w:val="left" w:pos="841"/>
              </w:tabs>
              <w:ind w:right="113"/>
              <w:rPr>
                <w:lang w:val="en-GB"/>
              </w:rPr>
            </w:pPr>
          </w:p>
        </w:tc>
        <w:tc>
          <w:tcPr>
            <w:tcW w:w="499" w:type="dxa"/>
          </w:tcPr>
          <w:p w14:paraId="2F826DA5" w14:textId="77777777" w:rsidR="00064CA6" w:rsidRDefault="00064CA6" w:rsidP="00F24942">
            <w:pPr>
              <w:tabs>
                <w:tab w:val="left" w:pos="841"/>
              </w:tabs>
              <w:ind w:right="113"/>
              <w:rPr>
                <w:lang w:val="en-GB"/>
              </w:rPr>
            </w:pPr>
          </w:p>
        </w:tc>
        <w:tc>
          <w:tcPr>
            <w:tcW w:w="459" w:type="dxa"/>
          </w:tcPr>
          <w:p w14:paraId="39B5267D" w14:textId="30F69D1E" w:rsidR="00064CA6" w:rsidRDefault="00064CA6" w:rsidP="00F24942">
            <w:pPr>
              <w:tabs>
                <w:tab w:val="left" w:pos="841"/>
              </w:tabs>
              <w:ind w:right="113"/>
              <w:rPr>
                <w:lang w:val="en-GB"/>
              </w:rPr>
            </w:pPr>
            <w:r>
              <w:rPr>
                <w:lang w:val="en-GB"/>
              </w:rPr>
              <w:sym w:font="Wingdings" w:char="F0FC"/>
            </w:r>
          </w:p>
        </w:tc>
        <w:tc>
          <w:tcPr>
            <w:tcW w:w="567" w:type="dxa"/>
            <w:shd w:val="clear" w:color="auto" w:fill="BFBFBF" w:themeFill="background1" w:themeFillShade="BF"/>
          </w:tcPr>
          <w:p w14:paraId="75925130" w14:textId="7341F418" w:rsidR="00064CA6" w:rsidRDefault="00064CA6" w:rsidP="00F24942">
            <w:pPr>
              <w:tabs>
                <w:tab w:val="left" w:pos="841"/>
              </w:tabs>
              <w:ind w:right="113"/>
              <w:rPr>
                <w:lang w:val="en-GB"/>
              </w:rPr>
            </w:pPr>
            <w:r>
              <w:rPr>
                <w:lang w:val="en-GB"/>
              </w:rPr>
              <w:sym w:font="Wingdings" w:char="F0FC"/>
            </w:r>
          </w:p>
        </w:tc>
        <w:tc>
          <w:tcPr>
            <w:tcW w:w="533" w:type="dxa"/>
            <w:shd w:val="clear" w:color="auto" w:fill="BFBFBF" w:themeFill="background1" w:themeFillShade="BF"/>
          </w:tcPr>
          <w:p w14:paraId="09419F18" w14:textId="4807A057" w:rsidR="00064CA6" w:rsidRDefault="00064CA6" w:rsidP="00F24942">
            <w:pPr>
              <w:tabs>
                <w:tab w:val="left" w:pos="841"/>
              </w:tabs>
              <w:ind w:right="113"/>
              <w:rPr>
                <w:lang w:val="en-GB"/>
              </w:rPr>
            </w:pPr>
            <w:r>
              <w:rPr>
                <w:lang w:val="en-GB"/>
              </w:rPr>
              <w:sym w:font="Wingdings" w:char="F0FC"/>
            </w:r>
          </w:p>
        </w:tc>
        <w:tc>
          <w:tcPr>
            <w:tcW w:w="567" w:type="dxa"/>
          </w:tcPr>
          <w:p w14:paraId="13A571C3" w14:textId="7C055BC2" w:rsidR="00064CA6" w:rsidRPr="00064CA6" w:rsidRDefault="00064CA6" w:rsidP="00F24942">
            <w:pPr>
              <w:tabs>
                <w:tab w:val="left" w:pos="841"/>
              </w:tabs>
              <w:ind w:right="113"/>
              <w:rPr>
                <w:sz w:val="20"/>
                <w:szCs w:val="20"/>
                <w:lang w:val="en-GB"/>
              </w:rPr>
            </w:pPr>
            <w:r>
              <w:rPr>
                <w:sz w:val="20"/>
                <w:szCs w:val="20"/>
                <w:lang w:val="en-GB"/>
              </w:rPr>
              <w:t>35</w:t>
            </w:r>
          </w:p>
        </w:tc>
        <w:tc>
          <w:tcPr>
            <w:tcW w:w="1701" w:type="dxa"/>
          </w:tcPr>
          <w:p w14:paraId="35810A8D" w14:textId="74F26F51" w:rsidR="00064CA6" w:rsidRPr="00064CA6" w:rsidRDefault="00064CA6" w:rsidP="00F24942">
            <w:pPr>
              <w:tabs>
                <w:tab w:val="left" w:pos="841"/>
              </w:tabs>
              <w:ind w:right="113"/>
              <w:rPr>
                <w:sz w:val="20"/>
                <w:szCs w:val="20"/>
                <w:lang w:val="en-GB"/>
              </w:rPr>
            </w:pPr>
            <w:r w:rsidRPr="00064CA6">
              <w:rPr>
                <w:sz w:val="20"/>
                <w:szCs w:val="20"/>
                <w:lang w:val="en-GB"/>
              </w:rPr>
              <w:t>Practical sessions</w:t>
            </w:r>
          </w:p>
        </w:tc>
        <w:tc>
          <w:tcPr>
            <w:tcW w:w="2552" w:type="dxa"/>
          </w:tcPr>
          <w:p w14:paraId="327E8ADB" w14:textId="5C08EA6D" w:rsidR="00064CA6" w:rsidRPr="00064CA6" w:rsidRDefault="00064CA6" w:rsidP="00F24942">
            <w:pPr>
              <w:tabs>
                <w:tab w:val="left" w:pos="841"/>
              </w:tabs>
              <w:ind w:right="113"/>
              <w:rPr>
                <w:sz w:val="20"/>
                <w:szCs w:val="20"/>
                <w:lang w:val="en-GB"/>
              </w:rPr>
            </w:pPr>
            <w:r w:rsidRPr="00064CA6">
              <w:rPr>
                <w:sz w:val="20"/>
                <w:szCs w:val="20"/>
                <w:lang w:val="en-GB"/>
              </w:rPr>
              <w:t>Considered, but no need for change</w:t>
            </w:r>
          </w:p>
        </w:tc>
        <w:tc>
          <w:tcPr>
            <w:tcW w:w="567" w:type="dxa"/>
          </w:tcPr>
          <w:p w14:paraId="3BA1BFE9" w14:textId="33B31602" w:rsidR="00064CA6" w:rsidRDefault="00064CA6" w:rsidP="00F24942">
            <w:pPr>
              <w:tabs>
                <w:tab w:val="left" w:pos="841"/>
              </w:tabs>
              <w:ind w:right="113"/>
              <w:rPr>
                <w:lang w:val="en-GB"/>
              </w:rPr>
            </w:pPr>
            <w:r>
              <w:rPr>
                <w:lang w:val="en-GB"/>
              </w:rPr>
              <w:sym w:font="Wingdings" w:char="F0FC"/>
            </w:r>
          </w:p>
        </w:tc>
      </w:tr>
      <w:tr w:rsidR="00064CA6" w14:paraId="633EED17" w14:textId="77777777" w:rsidTr="00064CA6">
        <w:tc>
          <w:tcPr>
            <w:tcW w:w="1015" w:type="dxa"/>
          </w:tcPr>
          <w:p w14:paraId="501AABA4" w14:textId="78600FCF" w:rsidR="00064CA6" w:rsidRPr="00064CA6" w:rsidRDefault="00064CA6" w:rsidP="00F24942">
            <w:pPr>
              <w:tabs>
                <w:tab w:val="left" w:pos="841"/>
              </w:tabs>
              <w:ind w:right="113"/>
              <w:rPr>
                <w:sz w:val="20"/>
                <w:szCs w:val="20"/>
                <w:lang w:val="en-GB"/>
              </w:rPr>
            </w:pPr>
            <w:r w:rsidRPr="00064CA6">
              <w:rPr>
                <w:sz w:val="20"/>
                <w:szCs w:val="20"/>
                <w:lang w:val="en-GB"/>
              </w:rPr>
              <w:t>XYZ173</w:t>
            </w:r>
          </w:p>
        </w:tc>
        <w:tc>
          <w:tcPr>
            <w:tcW w:w="502" w:type="dxa"/>
          </w:tcPr>
          <w:p w14:paraId="2A378A19" w14:textId="416C365D" w:rsidR="00064CA6" w:rsidRDefault="00064CA6" w:rsidP="00F24942">
            <w:pPr>
              <w:tabs>
                <w:tab w:val="left" w:pos="841"/>
              </w:tabs>
              <w:ind w:right="113"/>
              <w:rPr>
                <w:lang w:val="en-GB"/>
              </w:rPr>
            </w:pPr>
            <w:r>
              <w:rPr>
                <w:lang w:val="en-GB"/>
              </w:rPr>
              <w:sym w:font="Wingdings" w:char="F0FC"/>
            </w:r>
          </w:p>
        </w:tc>
        <w:tc>
          <w:tcPr>
            <w:tcW w:w="502" w:type="dxa"/>
          </w:tcPr>
          <w:p w14:paraId="2FB99A8E" w14:textId="77777777" w:rsidR="00064CA6" w:rsidRDefault="00064CA6" w:rsidP="00F24942">
            <w:pPr>
              <w:tabs>
                <w:tab w:val="left" w:pos="841"/>
              </w:tabs>
              <w:ind w:right="113"/>
              <w:rPr>
                <w:lang w:val="en-GB"/>
              </w:rPr>
            </w:pPr>
          </w:p>
        </w:tc>
        <w:tc>
          <w:tcPr>
            <w:tcW w:w="499" w:type="dxa"/>
          </w:tcPr>
          <w:p w14:paraId="7E6AF946" w14:textId="77777777" w:rsidR="00064CA6" w:rsidRDefault="00064CA6" w:rsidP="00F24942">
            <w:pPr>
              <w:tabs>
                <w:tab w:val="left" w:pos="841"/>
              </w:tabs>
              <w:ind w:right="113"/>
              <w:rPr>
                <w:lang w:val="en-GB"/>
              </w:rPr>
            </w:pPr>
          </w:p>
        </w:tc>
        <w:tc>
          <w:tcPr>
            <w:tcW w:w="459" w:type="dxa"/>
          </w:tcPr>
          <w:p w14:paraId="68E9DB67" w14:textId="77777777" w:rsidR="00064CA6" w:rsidRDefault="00064CA6" w:rsidP="00F24942">
            <w:pPr>
              <w:tabs>
                <w:tab w:val="left" w:pos="841"/>
              </w:tabs>
              <w:ind w:right="113"/>
              <w:rPr>
                <w:lang w:val="en-GB"/>
              </w:rPr>
            </w:pPr>
          </w:p>
        </w:tc>
        <w:tc>
          <w:tcPr>
            <w:tcW w:w="567" w:type="dxa"/>
            <w:shd w:val="clear" w:color="auto" w:fill="BFBFBF" w:themeFill="background1" w:themeFillShade="BF"/>
          </w:tcPr>
          <w:p w14:paraId="6E92EAB0" w14:textId="77777777" w:rsidR="00064CA6" w:rsidRDefault="00064CA6" w:rsidP="00F24942">
            <w:pPr>
              <w:tabs>
                <w:tab w:val="left" w:pos="841"/>
              </w:tabs>
              <w:ind w:right="113"/>
              <w:rPr>
                <w:lang w:val="en-GB"/>
              </w:rPr>
            </w:pPr>
          </w:p>
        </w:tc>
        <w:tc>
          <w:tcPr>
            <w:tcW w:w="533" w:type="dxa"/>
            <w:shd w:val="clear" w:color="auto" w:fill="BFBFBF" w:themeFill="background1" w:themeFillShade="BF"/>
          </w:tcPr>
          <w:p w14:paraId="15424DD6" w14:textId="77777777" w:rsidR="00064CA6" w:rsidRDefault="00064CA6" w:rsidP="00F24942">
            <w:pPr>
              <w:tabs>
                <w:tab w:val="left" w:pos="841"/>
              </w:tabs>
              <w:ind w:right="113"/>
              <w:rPr>
                <w:lang w:val="en-GB"/>
              </w:rPr>
            </w:pPr>
          </w:p>
        </w:tc>
        <w:tc>
          <w:tcPr>
            <w:tcW w:w="567" w:type="dxa"/>
          </w:tcPr>
          <w:p w14:paraId="12976B23" w14:textId="749E17B6" w:rsidR="00064CA6" w:rsidRPr="00064CA6" w:rsidRDefault="00064CA6" w:rsidP="00F24942">
            <w:pPr>
              <w:tabs>
                <w:tab w:val="left" w:pos="841"/>
              </w:tabs>
              <w:ind w:right="113"/>
              <w:rPr>
                <w:sz w:val="20"/>
                <w:szCs w:val="20"/>
                <w:lang w:val="en-GB"/>
              </w:rPr>
            </w:pPr>
            <w:r>
              <w:rPr>
                <w:sz w:val="20"/>
                <w:szCs w:val="20"/>
                <w:lang w:val="en-GB"/>
              </w:rPr>
              <w:t>65</w:t>
            </w:r>
          </w:p>
        </w:tc>
        <w:tc>
          <w:tcPr>
            <w:tcW w:w="1701" w:type="dxa"/>
          </w:tcPr>
          <w:p w14:paraId="2BB0D3CD" w14:textId="4D09F8B7" w:rsidR="00064CA6" w:rsidRPr="00064CA6" w:rsidRDefault="00064CA6" w:rsidP="00F24942">
            <w:pPr>
              <w:tabs>
                <w:tab w:val="left" w:pos="841"/>
              </w:tabs>
              <w:ind w:right="113"/>
              <w:rPr>
                <w:sz w:val="20"/>
                <w:szCs w:val="20"/>
                <w:lang w:val="en-GB"/>
              </w:rPr>
            </w:pPr>
            <w:r w:rsidRPr="00064CA6">
              <w:rPr>
                <w:sz w:val="20"/>
                <w:szCs w:val="20"/>
                <w:lang w:val="en-GB"/>
              </w:rPr>
              <w:t>No significant issue</w:t>
            </w:r>
          </w:p>
        </w:tc>
        <w:tc>
          <w:tcPr>
            <w:tcW w:w="2552" w:type="dxa"/>
          </w:tcPr>
          <w:p w14:paraId="39BA16C5" w14:textId="09B06448" w:rsidR="00064CA6" w:rsidRPr="00064CA6" w:rsidRDefault="00064CA6" w:rsidP="00F24942">
            <w:pPr>
              <w:tabs>
                <w:tab w:val="left" w:pos="841"/>
              </w:tabs>
              <w:ind w:right="113"/>
              <w:rPr>
                <w:sz w:val="20"/>
                <w:szCs w:val="20"/>
                <w:lang w:val="en-GB"/>
              </w:rPr>
            </w:pPr>
            <w:r w:rsidRPr="00064CA6">
              <w:rPr>
                <w:sz w:val="20"/>
                <w:szCs w:val="20"/>
                <w:lang w:val="en-GB"/>
              </w:rPr>
              <w:t>None</w:t>
            </w:r>
          </w:p>
        </w:tc>
        <w:tc>
          <w:tcPr>
            <w:tcW w:w="567" w:type="dxa"/>
          </w:tcPr>
          <w:p w14:paraId="33085F5B" w14:textId="52E75C90" w:rsidR="00064CA6" w:rsidRDefault="00064CA6" w:rsidP="00F24942">
            <w:pPr>
              <w:tabs>
                <w:tab w:val="left" w:pos="841"/>
              </w:tabs>
              <w:ind w:right="113"/>
              <w:rPr>
                <w:lang w:val="en-GB"/>
              </w:rPr>
            </w:pPr>
            <w:r>
              <w:rPr>
                <w:lang w:val="en-GB"/>
              </w:rPr>
              <w:sym w:font="Wingdings" w:char="F0FC"/>
            </w:r>
          </w:p>
        </w:tc>
      </w:tr>
      <w:tr w:rsidR="00064CA6" w14:paraId="57F4785C" w14:textId="77777777" w:rsidTr="00064CA6">
        <w:tc>
          <w:tcPr>
            <w:tcW w:w="1015" w:type="dxa"/>
          </w:tcPr>
          <w:p w14:paraId="001A6CB1" w14:textId="10D6E8C4" w:rsidR="00064CA6" w:rsidRPr="00064CA6" w:rsidRDefault="00064CA6" w:rsidP="00F24942">
            <w:pPr>
              <w:tabs>
                <w:tab w:val="left" w:pos="841"/>
              </w:tabs>
              <w:ind w:right="113"/>
              <w:rPr>
                <w:sz w:val="20"/>
                <w:szCs w:val="20"/>
                <w:lang w:val="en-GB"/>
              </w:rPr>
            </w:pPr>
            <w:r w:rsidRPr="00064CA6">
              <w:rPr>
                <w:sz w:val="20"/>
                <w:szCs w:val="20"/>
                <w:lang w:val="en-GB"/>
              </w:rPr>
              <w:t>XYZ174</w:t>
            </w:r>
          </w:p>
        </w:tc>
        <w:tc>
          <w:tcPr>
            <w:tcW w:w="502" w:type="dxa"/>
          </w:tcPr>
          <w:p w14:paraId="10C873E8" w14:textId="7A1A961A" w:rsidR="00064CA6" w:rsidRDefault="00064CA6" w:rsidP="00F24942">
            <w:pPr>
              <w:tabs>
                <w:tab w:val="left" w:pos="841"/>
              </w:tabs>
              <w:ind w:right="113"/>
              <w:rPr>
                <w:lang w:val="en-GB"/>
              </w:rPr>
            </w:pPr>
            <w:r>
              <w:rPr>
                <w:lang w:val="en-GB"/>
              </w:rPr>
              <w:sym w:font="Wingdings" w:char="F0FC"/>
            </w:r>
          </w:p>
        </w:tc>
        <w:tc>
          <w:tcPr>
            <w:tcW w:w="502" w:type="dxa"/>
          </w:tcPr>
          <w:p w14:paraId="75134832" w14:textId="68FD60CC" w:rsidR="00064CA6" w:rsidRDefault="00064CA6" w:rsidP="00F24942">
            <w:pPr>
              <w:tabs>
                <w:tab w:val="left" w:pos="841"/>
              </w:tabs>
              <w:ind w:right="113"/>
              <w:rPr>
                <w:lang w:val="en-GB"/>
              </w:rPr>
            </w:pPr>
          </w:p>
        </w:tc>
        <w:tc>
          <w:tcPr>
            <w:tcW w:w="499" w:type="dxa"/>
          </w:tcPr>
          <w:p w14:paraId="7FC5A838" w14:textId="77777777" w:rsidR="00064CA6" w:rsidRDefault="00064CA6" w:rsidP="00F24942">
            <w:pPr>
              <w:tabs>
                <w:tab w:val="left" w:pos="841"/>
              </w:tabs>
              <w:ind w:right="113"/>
              <w:rPr>
                <w:lang w:val="en-GB"/>
              </w:rPr>
            </w:pPr>
          </w:p>
        </w:tc>
        <w:tc>
          <w:tcPr>
            <w:tcW w:w="459" w:type="dxa"/>
          </w:tcPr>
          <w:p w14:paraId="5CD35AB6" w14:textId="77777777" w:rsidR="00064CA6" w:rsidRDefault="00064CA6" w:rsidP="00F24942">
            <w:pPr>
              <w:tabs>
                <w:tab w:val="left" w:pos="841"/>
              </w:tabs>
              <w:ind w:right="113"/>
              <w:rPr>
                <w:lang w:val="en-GB"/>
              </w:rPr>
            </w:pPr>
          </w:p>
        </w:tc>
        <w:tc>
          <w:tcPr>
            <w:tcW w:w="567" w:type="dxa"/>
            <w:shd w:val="clear" w:color="auto" w:fill="BFBFBF" w:themeFill="background1" w:themeFillShade="BF"/>
          </w:tcPr>
          <w:p w14:paraId="334BE763" w14:textId="4D66069C" w:rsidR="00064CA6" w:rsidRDefault="00064CA6" w:rsidP="00F24942">
            <w:pPr>
              <w:tabs>
                <w:tab w:val="left" w:pos="841"/>
              </w:tabs>
              <w:ind w:right="113"/>
              <w:rPr>
                <w:lang w:val="en-GB"/>
              </w:rPr>
            </w:pPr>
            <w:r>
              <w:rPr>
                <w:lang w:val="en-GB"/>
              </w:rPr>
              <w:sym w:font="Wingdings" w:char="F0FC"/>
            </w:r>
          </w:p>
        </w:tc>
        <w:tc>
          <w:tcPr>
            <w:tcW w:w="533" w:type="dxa"/>
            <w:shd w:val="clear" w:color="auto" w:fill="BFBFBF" w:themeFill="background1" w:themeFillShade="BF"/>
          </w:tcPr>
          <w:p w14:paraId="01F890B1" w14:textId="77777777" w:rsidR="00064CA6" w:rsidRDefault="00064CA6" w:rsidP="00F24942">
            <w:pPr>
              <w:tabs>
                <w:tab w:val="left" w:pos="841"/>
              </w:tabs>
              <w:ind w:right="113"/>
              <w:rPr>
                <w:lang w:val="en-GB"/>
              </w:rPr>
            </w:pPr>
          </w:p>
        </w:tc>
        <w:tc>
          <w:tcPr>
            <w:tcW w:w="567" w:type="dxa"/>
          </w:tcPr>
          <w:p w14:paraId="5186E08F" w14:textId="7000933B" w:rsidR="00064CA6" w:rsidRPr="00064CA6" w:rsidRDefault="00064CA6" w:rsidP="00F24942">
            <w:pPr>
              <w:tabs>
                <w:tab w:val="left" w:pos="841"/>
              </w:tabs>
              <w:ind w:right="113"/>
              <w:rPr>
                <w:sz w:val="20"/>
                <w:szCs w:val="20"/>
                <w:lang w:val="en-GB"/>
              </w:rPr>
            </w:pPr>
            <w:r>
              <w:rPr>
                <w:sz w:val="20"/>
                <w:szCs w:val="20"/>
                <w:lang w:val="en-GB"/>
              </w:rPr>
              <w:t>60</w:t>
            </w:r>
          </w:p>
        </w:tc>
        <w:tc>
          <w:tcPr>
            <w:tcW w:w="1701" w:type="dxa"/>
          </w:tcPr>
          <w:p w14:paraId="37D393F8" w14:textId="55F5CB58" w:rsidR="00064CA6" w:rsidRPr="00064CA6" w:rsidRDefault="00064CA6" w:rsidP="00F24942">
            <w:pPr>
              <w:tabs>
                <w:tab w:val="left" w:pos="841"/>
              </w:tabs>
              <w:ind w:right="113"/>
              <w:rPr>
                <w:sz w:val="20"/>
                <w:szCs w:val="20"/>
                <w:lang w:val="en-GB"/>
              </w:rPr>
            </w:pPr>
            <w:r w:rsidRPr="00064CA6">
              <w:rPr>
                <w:sz w:val="20"/>
                <w:szCs w:val="20"/>
                <w:lang w:val="en-GB"/>
              </w:rPr>
              <w:t>Class format, Assessment deadlines</w:t>
            </w:r>
          </w:p>
        </w:tc>
        <w:tc>
          <w:tcPr>
            <w:tcW w:w="2552" w:type="dxa"/>
          </w:tcPr>
          <w:p w14:paraId="4AE05761" w14:textId="683AA919" w:rsidR="00064CA6" w:rsidRPr="00064CA6" w:rsidRDefault="00064CA6" w:rsidP="00F24942">
            <w:pPr>
              <w:tabs>
                <w:tab w:val="left" w:pos="841"/>
              </w:tabs>
              <w:ind w:right="113"/>
              <w:rPr>
                <w:sz w:val="20"/>
                <w:szCs w:val="20"/>
                <w:lang w:val="en-GB"/>
              </w:rPr>
            </w:pPr>
            <w:r w:rsidRPr="00064CA6">
              <w:rPr>
                <w:sz w:val="20"/>
                <w:szCs w:val="20"/>
                <w:lang w:val="en-GB"/>
              </w:rPr>
              <w:t>Format change, schedule issued earlier next year</w:t>
            </w:r>
          </w:p>
        </w:tc>
        <w:tc>
          <w:tcPr>
            <w:tcW w:w="567" w:type="dxa"/>
          </w:tcPr>
          <w:p w14:paraId="1B84FD41" w14:textId="6F825C82" w:rsidR="00064CA6" w:rsidRDefault="00064CA6" w:rsidP="00F24942">
            <w:pPr>
              <w:tabs>
                <w:tab w:val="left" w:pos="841"/>
              </w:tabs>
              <w:ind w:right="113"/>
              <w:rPr>
                <w:lang w:val="en-GB"/>
              </w:rPr>
            </w:pPr>
            <w:r>
              <w:rPr>
                <w:lang w:val="en-GB"/>
              </w:rPr>
              <w:sym w:font="Wingdings" w:char="F0FC"/>
            </w:r>
          </w:p>
        </w:tc>
      </w:tr>
      <w:tr w:rsidR="00064CA6" w14:paraId="699911E0" w14:textId="77777777" w:rsidTr="00064CA6">
        <w:tc>
          <w:tcPr>
            <w:tcW w:w="1015" w:type="dxa"/>
          </w:tcPr>
          <w:p w14:paraId="58BA41C7" w14:textId="77777777" w:rsidR="00064CA6" w:rsidRDefault="00064CA6" w:rsidP="00F24942">
            <w:pPr>
              <w:tabs>
                <w:tab w:val="left" w:pos="841"/>
              </w:tabs>
              <w:ind w:right="113"/>
              <w:rPr>
                <w:lang w:val="en-GB"/>
              </w:rPr>
            </w:pPr>
          </w:p>
        </w:tc>
        <w:tc>
          <w:tcPr>
            <w:tcW w:w="502" w:type="dxa"/>
          </w:tcPr>
          <w:p w14:paraId="7C7A5FC2" w14:textId="77777777" w:rsidR="00064CA6" w:rsidRDefault="00064CA6" w:rsidP="00F24942">
            <w:pPr>
              <w:tabs>
                <w:tab w:val="left" w:pos="841"/>
              </w:tabs>
              <w:ind w:right="113"/>
              <w:rPr>
                <w:lang w:val="en-GB"/>
              </w:rPr>
            </w:pPr>
          </w:p>
        </w:tc>
        <w:tc>
          <w:tcPr>
            <w:tcW w:w="502" w:type="dxa"/>
          </w:tcPr>
          <w:p w14:paraId="7DB887F7" w14:textId="77777777" w:rsidR="00064CA6" w:rsidRDefault="00064CA6" w:rsidP="00F24942">
            <w:pPr>
              <w:tabs>
                <w:tab w:val="left" w:pos="841"/>
              </w:tabs>
              <w:ind w:right="113"/>
              <w:rPr>
                <w:lang w:val="en-GB"/>
              </w:rPr>
            </w:pPr>
          </w:p>
        </w:tc>
        <w:tc>
          <w:tcPr>
            <w:tcW w:w="499" w:type="dxa"/>
          </w:tcPr>
          <w:p w14:paraId="2B44FD8D" w14:textId="77777777" w:rsidR="00064CA6" w:rsidRDefault="00064CA6" w:rsidP="00F24942">
            <w:pPr>
              <w:tabs>
                <w:tab w:val="left" w:pos="841"/>
              </w:tabs>
              <w:ind w:right="113"/>
              <w:rPr>
                <w:lang w:val="en-GB"/>
              </w:rPr>
            </w:pPr>
          </w:p>
        </w:tc>
        <w:tc>
          <w:tcPr>
            <w:tcW w:w="459" w:type="dxa"/>
          </w:tcPr>
          <w:p w14:paraId="10BFD694" w14:textId="77777777" w:rsidR="00064CA6" w:rsidRDefault="00064CA6" w:rsidP="00F24942">
            <w:pPr>
              <w:tabs>
                <w:tab w:val="left" w:pos="841"/>
              </w:tabs>
              <w:ind w:right="113"/>
              <w:rPr>
                <w:lang w:val="en-GB"/>
              </w:rPr>
            </w:pPr>
          </w:p>
        </w:tc>
        <w:tc>
          <w:tcPr>
            <w:tcW w:w="567" w:type="dxa"/>
            <w:shd w:val="clear" w:color="auto" w:fill="BFBFBF" w:themeFill="background1" w:themeFillShade="BF"/>
          </w:tcPr>
          <w:p w14:paraId="2A97A2C4" w14:textId="77777777" w:rsidR="00064CA6" w:rsidRDefault="00064CA6" w:rsidP="00F24942">
            <w:pPr>
              <w:tabs>
                <w:tab w:val="left" w:pos="841"/>
              </w:tabs>
              <w:ind w:right="113"/>
              <w:rPr>
                <w:lang w:val="en-GB"/>
              </w:rPr>
            </w:pPr>
          </w:p>
        </w:tc>
        <w:tc>
          <w:tcPr>
            <w:tcW w:w="533" w:type="dxa"/>
            <w:shd w:val="clear" w:color="auto" w:fill="BFBFBF" w:themeFill="background1" w:themeFillShade="BF"/>
          </w:tcPr>
          <w:p w14:paraId="164BF91F" w14:textId="77777777" w:rsidR="00064CA6" w:rsidRDefault="00064CA6" w:rsidP="00F24942">
            <w:pPr>
              <w:tabs>
                <w:tab w:val="left" w:pos="841"/>
              </w:tabs>
              <w:ind w:right="113"/>
              <w:rPr>
                <w:lang w:val="en-GB"/>
              </w:rPr>
            </w:pPr>
          </w:p>
        </w:tc>
        <w:tc>
          <w:tcPr>
            <w:tcW w:w="567" w:type="dxa"/>
          </w:tcPr>
          <w:p w14:paraId="458B29BE" w14:textId="77777777" w:rsidR="00064CA6" w:rsidRDefault="00064CA6" w:rsidP="00F24942">
            <w:pPr>
              <w:tabs>
                <w:tab w:val="left" w:pos="841"/>
              </w:tabs>
              <w:ind w:right="113"/>
              <w:rPr>
                <w:lang w:val="en-GB"/>
              </w:rPr>
            </w:pPr>
          </w:p>
        </w:tc>
        <w:tc>
          <w:tcPr>
            <w:tcW w:w="1701" w:type="dxa"/>
          </w:tcPr>
          <w:p w14:paraId="7BA0CB69" w14:textId="3E61B5E0" w:rsidR="00064CA6" w:rsidRDefault="00064CA6" w:rsidP="00F24942">
            <w:pPr>
              <w:tabs>
                <w:tab w:val="left" w:pos="841"/>
              </w:tabs>
              <w:ind w:right="113"/>
              <w:rPr>
                <w:lang w:val="en-GB"/>
              </w:rPr>
            </w:pPr>
          </w:p>
        </w:tc>
        <w:tc>
          <w:tcPr>
            <w:tcW w:w="2552" w:type="dxa"/>
          </w:tcPr>
          <w:p w14:paraId="62A88157" w14:textId="77777777" w:rsidR="00064CA6" w:rsidRDefault="00064CA6" w:rsidP="00F24942">
            <w:pPr>
              <w:tabs>
                <w:tab w:val="left" w:pos="841"/>
              </w:tabs>
              <w:ind w:right="113"/>
              <w:rPr>
                <w:lang w:val="en-GB"/>
              </w:rPr>
            </w:pPr>
          </w:p>
        </w:tc>
        <w:tc>
          <w:tcPr>
            <w:tcW w:w="567" w:type="dxa"/>
          </w:tcPr>
          <w:p w14:paraId="7576CCBB" w14:textId="77777777" w:rsidR="00064CA6" w:rsidRDefault="00064CA6" w:rsidP="00F24942">
            <w:pPr>
              <w:tabs>
                <w:tab w:val="left" w:pos="841"/>
              </w:tabs>
              <w:ind w:right="113"/>
              <w:rPr>
                <w:lang w:val="en-GB"/>
              </w:rPr>
            </w:pPr>
          </w:p>
        </w:tc>
      </w:tr>
      <w:tr w:rsidR="00064CA6" w14:paraId="1DFF5C80" w14:textId="77777777" w:rsidTr="00064CA6">
        <w:tc>
          <w:tcPr>
            <w:tcW w:w="1015" w:type="dxa"/>
          </w:tcPr>
          <w:p w14:paraId="304FA69A" w14:textId="77777777" w:rsidR="00064CA6" w:rsidRDefault="00064CA6" w:rsidP="00F24942">
            <w:pPr>
              <w:tabs>
                <w:tab w:val="left" w:pos="841"/>
              </w:tabs>
              <w:ind w:right="113"/>
              <w:rPr>
                <w:lang w:val="en-GB"/>
              </w:rPr>
            </w:pPr>
          </w:p>
        </w:tc>
        <w:tc>
          <w:tcPr>
            <w:tcW w:w="502" w:type="dxa"/>
          </w:tcPr>
          <w:p w14:paraId="7AB72ED2" w14:textId="77777777" w:rsidR="00064CA6" w:rsidRDefault="00064CA6" w:rsidP="00F24942">
            <w:pPr>
              <w:tabs>
                <w:tab w:val="left" w:pos="841"/>
              </w:tabs>
              <w:ind w:right="113"/>
              <w:rPr>
                <w:lang w:val="en-GB"/>
              </w:rPr>
            </w:pPr>
          </w:p>
        </w:tc>
        <w:tc>
          <w:tcPr>
            <w:tcW w:w="502" w:type="dxa"/>
          </w:tcPr>
          <w:p w14:paraId="608C1610" w14:textId="77777777" w:rsidR="00064CA6" w:rsidRDefault="00064CA6" w:rsidP="00F24942">
            <w:pPr>
              <w:tabs>
                <w:tab w:val="left" w:pos="841"/>
              </w:tabs>
              <w:ind w:right="113"/>
              <w:rPr>
                <w:lang w:val="en-GB"/>
              </w:rPr>
            </w:pPr>
          </w:p>
        </w:tc>
        <w:tc>
          <w:tcPr>
            <w:tcW w:w="499" w:type="dxa"/>
          </w:tcPr>
          <w:p w14:paraId="793753AD" w14:textId="77777777" w:rsidR="00064CA6" w:rsidRDefault="00064CA6" w:rsidP="00F24942">
            <w:pPr>
              <w:tabs>
                <w:tab w:val="left" w:pos="841"/>
              </w:tabs>
              <w:ind w:right="113"/>
              <w:rPr>
                <w:lang w:val="en-GB"/>
              </w:rPr>
            </w:pPr>
          </w:p>
        </w:tc>
        <w:tc>
          <w:tcPr>
            <w:tcW w:w="459" w:type="dxa"/>
          </w:tcPr>
          <w:p w14:paraId="5A921B51" w14:textId="77777777" w:rsidR="00064CA6" w:rsidRDefault="00064CA6" w:rsidP="00F24942">
            <w:pPr>
              <w:tabs>
                <w:tab w:val="left" w:pos="841"/>
              </w:tabs>
              <w:ind w:right="113"/>
              <w:rPr>
                <w:lang w:val="en-GB"/>
              </w:rPr>
            </w:pPr>
          </w:p>
        </w:tc>
        <w:tc>
          <w:tcPr>
            <w:tcW w:w="567" w:type="dxa"/>
            <w:shd w:val="clear" w:color="auto" w:fill="BFBFBF" w:themeFill="background1" w:themeFillShade="BF"/>
          </w:tcPr>
          <w:p w14:paraId="322EDBDA" w14:textId="77777777" w:rsidR="00064CA6" w:rsidRDefault="00064CA6" w:rsidP="00F24942">
            <w:pPr>
              <w:tabs>
                <w:tab w:val="left" w:pos="841"/>
              </w:tabs>
              <w:ind w:right="113"/>
              <w:rPr>
                <w:lang w:val="en-GB"/>
              </w:rPr>
            </w:pPr>
          </w:p>
        </w:tc>
        <w:tc>
          <w:tcPr>
            <w:tcW w:w="533" w:type="dxa"/>
            <w:shd w:val="clear" w:color="auto" w:fill="BFBFBF" w:themeFill="background1" w:themeFillShade="BF"/>
          </w:tcPr>
          <w:p w14:paraId="4AB5037A" w14:textId="77777777" w:rsidR="00064CA6" w:rsidRDefault="00064CA6" w:rsidP="00F24942">
            <w:pPr>
              <w:tabs>
                <w:tab w:val="left" w:pos="841"/>
              </w:tabs>
              <w:ind w:right="113"/>
              <w:rPr>
                <w:lang w:val="en-GB"/>
              </w:rPr>
            </w:pPr>
          </w:p>
        </w:tc>
        <w:tc>
          <w:tcPr>
            <w:tcW w:w="567" w:type="dxa"/>
          </w:tcPr>
          <w:p w14:paraId="08B438AB" w14:textId="77777777" w:rsidR="00064CA6" w:rsidRDefault="00064CA6" w:rsidP="00F24942">
            <w:pPr>
              <w:tabs>
                <w:tab w:val="left" w:pos="841"/>
              </w:tabs>
              <w:ind w:right="113"/>
              <w:rPr>
                <w:lang w:val="en-GB"/>
              </w:rPr>
            </w:pPr>
          </w:p>
        </w:tc>
        <w:tc>
          <w:tcPr>
            <w:tcW w:w="1701" w:type="dxa"/>
          </w:tcPr>
          <w:p w14:paraId="1D532B86" w14:textId="06CD2FED" w:rsidR="00064CA6" w:rsidRDefault="00064CA6" w:rsidP="00F24942">
            <w:pPr>
              <w:tabs>
                <w:tab w:val="left" w:pos="841"/>
              </w:tabs>
              <w:ind w:right="113"/>
              <w:rPr>
                <w:lang w:val="en-GB"/>
              </w:rPr>
            </w:pPr>
          </w:p>
        </w:tc>
        <w:tc>
          <w:tcPr>
            <w:tcW w:w="2552" w:type="dxa"/>
          </w:tcPr>
          <w:p w14:paraId="1AB9831B" w14:textId="77777777" w:rsidR="00064CA6" w:rsidRDefault="00064CA6" w:rsidP="00F24942">
            <w:pPr>
              <w:tabs>
                <w:tab w:val="left" w:pos="841"/>
              </w:tabs>
              <w:ind w:right="113"/>
              <w:rPr>
                <w:lang w:val="en-GB"/>
              </w:rPr>
            </w:pPr>
          </w:p>
        </w:tc>
        <w:tc>
          <w:tcPr>
            <w:tcW w:w="567" w:type="dxa"/>
          </w:tcPr>
          <w:p w14:paraId="59E76AF7" w14:textId="77777777" w:rsidR="00064CA6" w:rsidRDefault="00064CA6" w:rsidP="00F24942">
            <w:pPr>
              <w:tabs>
                <w:tab w:val="left" w:pos="841"/>
              </w:tabs>
              <w:ind w:right="113"/>
              <w:rPr>
                <w:lang w:val="en-GB"/>
              </w:rPr>
            </w:pPr>
          </w:p>
        </w:tc>
      </w:tr>
    </w:tbl>
    <w:p w14:paraId="53483116" w14:textId="77777777" w:rsidR="00064CA6" w:rsidRDefault="00064CA6" w:rsidP="00F24942">
      <w:pPr>
        <w:tabs>
          <w:tab w:val="left" w:pos="841"/>
        </w:tabs>
        <w:ind w:right="113"/>
        <w:rPr>
          <w:lang w:val="en-GB"/>
        </w:rPr>
      </w:pPr>
    </w:p>
    <w:p w14:paraId="788E694F" w14:textId="77777777" w:rsidR="00DC3C4C" w:rsidRDefault="00DC3C4C" w:rsidP="002F348A">
      <w:pPr>
        <w:rPr>
          <w:lang w:val="en-GB"/>
        </w:rPr>
      </w:pPr>
    </w:p>
    <w:p w14:paraId="67639202" w14:textId="77777777" w:rsidR="009C1D08" w:rsidRDefault="009C1D08" w:rsidP="002F348A">
      <w:pPr>
        <w:rPr>
          <w:b/>
        </w:rPr>
      </w:pPr>
    </w:p>
    <w:p w14:paraId="71E5379B" w14:textId="77777777" w:rsidR="009C1D08" w:rsidRDefault="009C1D08" w:rsidP="002F348A">
      <w:pPr>
        <w:rPr>
          <w:b/>
        </w:rPr>
      </w:pPr>
    </w:p>
    <w:p w14:paraId="59489B5D" w14:textId="38296B16" w:rsidR="002F348A" w:rsidRDefault="00145531" w:rsidP="002F348A">
      <w:pPr>
        <w:rPr>
          <w:b/>
        </w:rPr>
      </w:pPr>
      <w:r>
        <w:rPr>
          <w:b/>
        </w:rPr>
        <w:t>Responsibilities</w:t>
      </w:r>
    </w:p>
    <w:p w14:paraId="0DEA5D25" w14:textId="77777777" w:rsidR="00246957" w:rsidRDefault="00246957" w:rsidP="00F24942">
      <w:pPr>
        <w:pStyle w:val="BodyText"/>
        <w:spacing w:before="3" w:after="1"/>
        <w:rPr>
          <w:b/>
          <w:lang w:val="en-GB"/>
        </w:rPr>
      </w:pPr>
    </w:p>
    <w:tbl>
      <w:tblPr>
        <w:tblStyle w:val="TableGrid"/>
        <w:tblW w:w="0" w:type="auto"/>
        <w:tblLook w:val="04A0" w:firstRow="1" w:lastRow="0" w:firstColumn="1" w:lastColumn="0" w:noHBand="0" w:noVBand="1"/>
      </w:tblPr>
      <w:tblGrid>
        <w:gridCol w:w="1597"/>
        <w:gridCol w:w="8359"/>
      </w:tblGrid>
      <w:tr w:rsidR="00077F87" w14:paraId="0674ABD2" w14:textId="77777777" w:rsidTr="0064778F">
        <w:tc>
          <w:tcPr>
            <w:tcW w:w="0" w:type="auto"/>
          </w:tcPr>
          <w:p w14:paraId="5E58E496" w14:textId="77777777" w:rsidR="00DC3C4C" w:rsidRDefault="00DC3C4C" w:rsidP="00145531">
            <w:pPr>
              <w:rPr>
                <w:b/>
              </w:rPr>
            </w:pPr>
            <w:r>
              <w:rPr>
                <w:b/>
              </w:rPr>
              <w:t>Name</w:t>
            </w:r>
          </w:p>
        </w:tc>
        <w:tc>
          <w:tcPr>
            <w:tcW w:w="0" w:type="auto"/>
          </w:tcPr>
          <w:p w14:paraId="13462E8E" w14:textId="77777777" w:rsidR="00DC3C4C" w:rsidRDefault="00DC3C4C" w:rsidP="00145531">
            <w:pPr>
              <w:rPr>
                <w:b/>
              </w:rPr>
            </w:pPr>
            <w:r>
              <w:rPr>
                <w:b/>
              </w:rPr>
              <w:t>Responsibility</w:t>
            </w:r>
          </w:p>
        </w:tc>
      </w:tr>
      <w:tr w:rsidR="00077F87" w14:paraId="47D06049" w14:textId="77777777" w:rsidTr="0064778F">
        <w:tc>
          <w:tcPr>
            <w:tcW w:w="0" w:type="auto"/>
          </w:tcPr>
          <w:p w14:paraId="44F04D8A" w14:textId="5940FBCD" w:rsidR="00DC3C4C" w:rsidRPr="00145531" w:rsidRDefault="00573319" w:rsidP="00145531">
            <w:pPr>
              <w:rPr>
                <w:b/>
              </w:rPr>
            </w:pPr>
            <w:r w:rsidRPr="00145531">
              <w:rPr>
                <w:b/>
              </w:rPr>
              <w:t>Individual Academic Staff</w:t>
            </w:r>
          </w:p>
        </w:tc>
        <w:tc>
          <w:tcPr>
            <w:tcW w:w="0" w:type="auto"/>
          </w:tcPr>
          <w:p w14:paraId="51DB6E17" w14:textId="7F04E3FC" w:rsidR="00DC3C4C" w:rsidRDefault="00DC3C4C" w:rsidP="00DC3C4C">
            <w:pPr>
              <w:pStyle w:val="ListParagraph"/>
              <w:widowControl/>
              <w:numPr>
                <w:ilvl w:val="0"/>
                <w:numId w:val="10"/>
              </w:numPr>
              <w:contextualSpacing/>
              <w:jc w:val="left"/>
            </w:pPr>
            <w:r w:rsidRPr="0040426E">
              <w:t>Ensure that student feedback is c</w:t>
            </w:r>
            <w:r w:rsidR="00145531">
              <w:t>ollected for each module for which they are responsible, using the appropriate School/College process</w:t>
            </w:r>
            <w:r w:rsidR="00D634E9">
              <w:rPr>
                <w:rStyle w:val="FootnoteReference"/>
              </w:rPr>
              <w:footnoteReference w:id="3"/>
            </w:r>
            <w:r w:rsidR="00145531">
              <w:t>.</w:t>
            </w:r>
          </w:p>
          <w:p w14:paraId="47FCC9A3" w14:textId="186C11FB" w:rsidR="00DC3C4C" w:rsidRPr="0040426E" w:rsidRDefault="00DC3C4C" w:rsidP="0009600D">
            <w:pPr>
              <w:pStyle w:val="ListParagraph"/>
              <w:widowControl/>
              <w:numPr>
                <w:ilvl w:val="0"/>
                <w:numId w:val="10"/>
              </w:numPr>
              <w:contextualSpacing/>
              <w:jc w:val="left"/>
            </w:pPr>
            <w:r>
              <w:t>Review feedback;</w:t>
            </w:r>
            <w:r w:rsidR="0009600D">
              <w:t xml:space="preserve"> implement any action which is identified as appropriate or useful, or which is required by the Head of School.</w:t>
            </w:r>
          </w:p>
        </w:tc>
      </w:tr>
      <w:tr w:rsidR="00077F87" w14:paraId="192DD9C4" w14:textId="77777777" w:rsidTr="0064778F">
        <w:tc>
          <w:tcPr>
            <w:tcW w:w="0" w:type="auto"/>
          </w:tcPr>
          <w:p w14:paraId="200AA3D8" w14:textId="77777777" w:rsidR="00DC3C4C" w:rsidRDefault="00DC3C4C" w:rsidP="00145531">
            <w:pPr>
              <w:rPr>
                <w:b/>
              </w:rPr>
            </w:pPr>
            <w:r>
              <w:rPr>
                <w:b/>
              </w:rPr>
              <w:t>Programme Director</w:t>
            </w:r>
          </w:p>
          <w:p w14:paraId="533C4858" w14:textId="1FBB73A9" w:rsidR="00DC3C4C" w:rsidRDefault="00DC3C4C" w:rsidP="00145531">
            <w:pPr>
              <w:rPr>
                <w:b/>
              </w:rPr>
            </w:pPr>
          </w:p>
        </w:tc>
        <w:tc>
          <w:tcPr>
            <w:tcW w:w="0" w:type="auto"/>
          </w:tcPr>
          <w:p w14:paraId="4AB03E9F" w14:textId="033E2CC3" w:rsidR="00DC3C4C" w:rsidRPr="006A794D" w:rsidRDefault="00FC1B03" w:rsidP="00DC3C4C">
            <w:pPr>
              <w:pStyle w:val="ListParagraph"/>
              <w:widowControl/>
              <w:numPr>
                <w:ilvl w:val="0"/>
                <w:numId w:val="11"/>
              </w:numPr>
              <w:contextualSpacing/>
              <w:jc w:val="left"/>
              <w:rPr>
                <w:b/>
              </w:rPr>
            </w:pPr>
            <w:r>
              <w:t>Ensure that</w:t>
            </w:r>
            <w:r w:rsidR="00DC3C4C">
              <w:t xml:space="preserve"> student feedback </w:t>
            </w:r>
            <w:r>
              <w:t xml:space="preserve">is collected </w:t>
            </w:r>
            <w:r w:rsidR="00DC3C4C">
              <w:t xml:space="preserve">for the </w:t>
            </w:r>
            <w:proofErr w:type="spellStart"/>
            <w:r w:rsidR="00DC3C4C">
              <w:t>programme</w:t>
            </w:r>
            <w:proofErr w:type="spellEnd"/>
            <w:r>
              <w:t>, using the appropriate School/College process.</w:t>
            </w:r>
          </w:p>
          <w:p w14:paraId="665F2DC1" w14:textId="654C90AD" w:rsidR="00DC3C4C" w:rsidRDefault="00DC3C4C" w:rsidP="00DC3C4C">
            <w:pPr>
              <w:pStyle w:val="ListParagraph"/>
              <w:widowControl/>
              <w:numPr>
                <w:ilvl w:val="0"/>
                <w:numId w:val="11"/>
              </w:numPr>
              <w:contextualSpacing/>
              <w:jc w:val="left"/>
            </w:pPr>
            <w:r>
              <w:lastRenderedPageBreak/>
              <w:t>Review feedback</w:t>
            </w:r>
            <w:r w:rsidR="00077F87">
              <w:t xml:space="preserve"> (on modules and programmes)</w:t>
            </w:r>
            <w:r>
              <w:t>; prepare and implement an action plan based on student responses (where action is identified as required)</w:t>
            </w:r>
          </w:p>
          <w:p w14:paraId="2D11A684" w14:textId="65E633EA" w:rsidR="00DC3C4C" w:rsidRPr="006A794D" w:rsidRDefault="00FC1B03" w:rsidP="00FC1B03">
            <w:pPr>
              <w:pStyle w:val="ListParagraph"/>
              <w:widowControl/>
              <w:numPr>
                <w:ilvl w:val="0"/>
                <w:numId w:val="11"/>
              </w:numPr>
              <w:contextualSpacing/>
              <w:jc w:val="left"/>
            </w:pPr>
            <w:r>
              <w:t>Inform students of any resulting actions or developments based on their feedback.</w:t>
            </w:r>
          </w:p>
        </w:tc>
      </w:tr>
      <w:tr w:rsidR="00077F87" w14:paraId="72C6B5A8" w14:textId="77777777" w:rsidTr="0064778F">
        <w:tc>
          <w:tcPr>
            <w:tcW w:w="0" w:type="auto"/>
          </w:tcPr>
          <w:p w14:paraId="0F07F671" w14:textId="77777777" w:rsidR="00DC3C4C" w:rsidRDefault="00DC3C4C" w:rsidP="00145531">
            <w:pPr>
              <w:rPr>
                <w:b/>
              </w:rPr>
            </w:pPr>
            <w:r>
              <w:rPr>
                <w:b/>
              </w:rPr>
              <w:lastRenderedPageBreak/>
              <w:t xml:space="preserve">Head of Discipline </w:t>
            </w:r>
          </w:p>
          <w:p w14:paraId="3F861668" w14:textId="315CD197" w:rsidR="00DC3C4C" w:rsidRDefault="00DC3C4C" w:rsidP="00145531">
            <w:pPr>
              <w:rPr>
                <w:b/>
              </w:rPr>
            </w:pPr>
          </w:p>
        </w:tc>
        <w:tc>
          <w:tcPr>
            <w:tcW w:w="0" w:type="auto"/>
          </w:tcPr>
          <w:p w14:paraId="4A853172" w14:textId="56217BE1" w:rsidR="00DC3C4C" w:rsidRPr="009E3328" w:rsidRDefault="00077F87" w:rsidP="00077F87">
            <w:pPr>
              <w:pStyle w:val="ListParagraph"/>
              <w:widowControl/>
              <w:numPr>
                <w:ilvl w:val="0"/>
                <w:numId w:val="12"/>
              </w:numPr>
              <w:contextualSpacing/>
              <w:jc w:val="left"/>
              <w:rPr>
                <w:b/>
              </w:rPr>
            </w:pPr>
            <w:r>
              <w:t>Oversee those aspects of the School/College feedback process for which they are identified as responsible by the Head of School/Dean</w:t>
            </w:r>
          </w:p>
        </w:tc>
      </w:tr>
      <w:tr w:rsidR="00077F87" w14:paraId="239EF96A" w14:textId="77777777" w:rsidTr="0064778F">
        <w:tc>
          <w:tcPr>
            <w:tcW w:w="0" w:type="auto"/>
          </w:tcPr>
          <w:p w14:paraId="4C33E6AA" w14:textId="0630EA07" w:rsidR="00DC3C4C" w:rsidRDefault="00DC3C4C" w:rsidP="00077F87">
            <w:pPr>
              <w:rPr>
                <w:b/>
              </w:rPr>
            </w:pPr>
            <w:r>
              <w:rPr>
                <w:b/>
              </w:rPr>
              <w:t xml:space="preserve">Head of School </w:t>
            </w:r>
          </w:p>
        </w:tc>
        <w:tc>
          <w:tcPr>
            <w:tcW w:w="0" w:type="auto"/>
          </w:tcPr>
          <w:p w14:paraId="6ACE659C" w14:textId="1207C836" w:rsidR="0009600D" w:rsidRDefault="0009600D" w:rsidP="00DC3C4C">
            <w:pPr>
              <w:pStyle w:val="ListParagraph"/>
              <w:widowControl/>
              <w:numPr>
                <w:ilvl w:val="0"/>
                <w:numId w:val="13"/>
              </w:numPr>
              <w:contextualSpacing/>
              <w:jc w:val="left"/>
            </w:pPr>
            <w:r>
              <w:t xml:space="preserve">Submit a summary document outlining the School’s feedback processes and procedures to the </w:t>
            </w:r>
            <w:r w:rsidR="00DF5398">
              <w:t xml:space="preserve">Dean of the College and the </w:t>
            </w:r>
            <w:r>
              <w:t>Office of the Registrar</w:t>
            </w:r>
            <w:r w:rsidR="00077F87">
              <w:t xml:space="preserve"> (copied to the Quality Office)</w:t>
            </w:r>
          </w:p>
          <w:p w14:paraId="7E24F287" w14:textId="6C14E3C1" w:rsidR="00DC3C4C" w:rsidRDefault="0009600D" w:rsidP="00DC3C4C">
            <w:pPr>
              <w:pStyle w:val="ListParagraph"/>
              <w:widowControl/>
              <w:numPr>
                <w:ilvl w:val="0"/>
                <w:numId w:val="13"/>
              </w:numPr>
              <w:contextualSpacing/>
              <w:jc w:val="left"/>
            </w:pPr>
            <w:r>
              <w:t>Ensure that student feedback is obtained on modules and programmes.</w:t>
            </w:r>
          </w:p>
          <w:p w14:paraId="78724A96" w14:textId="06630643" w:rsidR="0009600D" w:rsidRDefault="0009600D" w:rsidP="00DC3C4C">
            <w:pPr>
              <w:pStyle w:val="ListParagraph"/>
              <w:widowControl/>
              <w:numPr>
                <w:ilvl w:val="0"/>
                <w:numId w:val="13"/>
              </w:numPr>
              <w:contextualSpacing/>
              <w:jc w:val="left"/>
            </w:pPr>
            <w:r>
              <w:t>Give due consideration to implementing changes on the basis of the feedback w</w:t>
            </w:r>
            <w:r w:rsidR="00077F87">
              <w:t>here such is deemed appropriate, and that students are informed of such.</w:t>
            </w:r>
          </w:p>
          <w:p w14:paraId="6A791F06" w14:textId="77E6C2DC" w:rsidR="00DC3C4C" w:rsidRDefault="0009600D" w:rsidP="00DC3C4C">
            <w:pPr>
              <w:pStyle w:val="ListParagraph"/>
              <w:widowControl/>
              <w:numPr>
                <w:ilvl w:val="0"/>
                <w:numId w:val="13"/>
              </w:numPr>
              <w:contextualSpacing/>
              <w:jc w:val="left"/>
            </w:pPr>
            <w:r>
              <w:t>Ensure that policies and procedures within the School are fully compliant with University policy, any requirements for professional accreditation, and quality regulations.</w:t>
            </w:r>
          </w:p>
          <w:p w14:paraId="43A81E4B" w14:textId="2BBCD480" w:rsidR="00DC3C4C" w:rsidRPr="00AA5EBD" w:rsidRDefault="0009600D" w:rsidP="00077F87">
            <w:pPr>
              <w:pStyle w:val="ListParagraph"/>
              <w:widowControl/>
              <w:numPr>
                <w:ilvl w:val="0"/>
                <w:numId w:val="13"/>
              </w:numPr>
              <w:contextualSpacing/>
              <w:jc w:val="left"/>
            </w:pPr>
            <w:r>
              <w:t>Submit an annual report/summary document to the Dean and the Registrar (through the Quality Office).</w:t>
            </w:r>
          </w:p>
        </w:tc>
      </w:tr>
      <w:tr w:rsidR="00077F87" w14:paraId="3D880318" w14:textId="77777777" w:rsidTr="0064778F">
        <w:tc>
          <w:tcPr>
            <w:tcW w:w="0" w:type="auto"/>
          </w:tcPr>
          <w:p w14:paraId="24D32D01" w14:textId="174CEFDA" w:rsidR="00DC3C4C" w:rsidRDefault="00DC3C4C" w:rsidP="00FD57F7">
            <w:pPr>
              <w:rPr>
                <w:b/>
              </w:rPr>
            </w:pPr>
            <w:r>
              <w:rPr>
                <w:b/>
              </w:rPr>
              <w:t xml:space="preserve">Dean </w:t>
            </w:r>
          </w:p>
        </w:tc>
        <w:tc>
          <w:tcPr>
            <w:tcW w:w="0" w:type="auto"/>
          </w:tcPr>
          <w:p w14:paraId="22DD1DB7" w14:textId="6CF513B9" w:rsidR="00DC3C4C" w:rsidRPr="00FD57F7" w:rsidRDefault="00FD57F7" w:rsidP="00DC3C4C">
            <w:pPr>
              <w:pStyle w:val="ListParagraph"/>
              <w:widowControl/>
              <w:numPr>
                <w:ilvl w:val="0"/>
                <w:numId w:val="14"/>
              </w:numPr>
              <w:contextualSpacing/>
              <w:jc w:val="left"/>
              <w:rPr>
                <w:b/>
              </w:rPr>
            </w:pPr>
            <w:r>
              <w:t>Overall responsibility for the student feedback process and co</w:t>
            </w:r>
            <w:r w:rsidR="00077F87">
              <w:t>mpliance with University policy across the College.</w:t>
            </w:r>
          </w:p>
          <w:p w14:paraId="73591122" w14:textId="77777777" w:rsidR="00FD57F7" w:rsidRPr="00077F87" w:rsidRDefault="00FD57F7" w:rsidP="00077F87">
            <w:pPr>
              <w:pStyle w:val="ListParagraph"/>
              <w:widowControl/>
              <w:numPr>
                <w:ilvl w:val="0"/>
                <w:numId w:val="14"/>
              </w:numPr>
              <w:contextualSpacing/>
              <w:jc w:val="left"/>
              <w:rPr>
                <w:b/>
              </w:rPr>
            </w:pPr>
            <w:r>
              <w:t xml:space="preserve">Has authority to </w:t>
            </w:r>
            <w:r w:rsidRPr="00FD57F7">
              <w:t>require each constituent school to adopt the same feedback procedure and instrument where this is thought necessary or useful</w:t>
            </w:r>
          </w:p>
          <w:p w14:paraId="54723C81" w14:textId="77E2AF45" w:rsidR="00077F87" w:rsidRPr="00077F87" w:rsidRDefault="00077F87" w:rsidP="00077F87">
            <w:pPr>
              <w:pStyle w:val="ListParagraph"/>
              <w:widowControl/>
              <w:numPr>
                <w:ilvl w:val="0"/>
                <w:numId w:val="14"/>
              </w:numPr>
              <w:contextualSpacing/>
              <w:jc w:val="left"/>
              <w:rPr>
                <w:b/>
              </w:rPr>
            </w:pPr>
            <w:r>
              <w:t>Review student feedback with College Executive, Heads of School/Discipline/Programmes, and identify any resulting actions.</w:t>
            </w:r>
          </w:p>
        </w:tc>
      </w:tr>
      <w:tr w:rsidR="00077F87" w14:paraId="337FDD25" w14:textId="77777777" w:rsidTr="0064778F">
        <w:tc>
          <w:tcPr>
            <w:tcW w:w="0" w:type="auto"/>
          </w:tcPr>
          <w:p w14:paraId="715F8373" w14:textId="45571CE8" w:rsidR="00077F87" w:rsidRDefault="00077F87" w:rsidP="00FD57F7">
            <w:pPr>
              <w:rPr>
                <w:b/>
              </w:rPr>
            </w:pPr>
            <w:r>
              <w:rPr>
                <w:b/>
              </w:rPr>
              <w:t>CELT</w:t>
            </w:r>
          </w:p>
        </w:tc>
        <w:tc>
          <w:tcPr>
            <w:tcW w:w="0" w:type="auto"/>
          </w:tcPr>
          <w:p w14:paraId="6BF9CD0A" w14:textId="77777777" w:rsidR="00077F87" w:rsidRPr="000B1FE3" w:rsidRDefault="00077F87" w:rsidP="00DC3C4C">
            <w:pPr>
              <w:pStyle w:val="ListParagraph"/>
              <w:widowControl/>
              <w:numPr>
                <w:ilvl w:val="0"/>
                <w:numId w:val="14"/>
              </w:numPr>
              <w:contextualSpacing/>
              <w:jc w:val="left"/>
            </w:pPr>
            <w:r>
              <w:rPr>
                <w:sz w:val="20"/>
                <w:szCs w:val="20"/>
              </w:rPr>
              <w:t>Act in an advisory capacity to Colleges, Schools, Programme Directors, and individual staff in terms of approaches to feedback, methods, and issues regarding course enhancement and professional development</w:t>
            </w:r>
          </w:p>
          <w:p w14:paraId="6C240144" w14:textId="3C517B06" w:rsidR="000B1FE3" w:rsidRPr="00077F87" w:rsidRDefault="000B1FE3" w:rsidP="00DC3C4C">
            <w:pPr>
              <w:pStyle w:val="ListParagraph"/>
              <w:widowControl/>
              <w:numPr>
                <w:ilvl w:val="0"/>
                <w:numId w:val="14"/>
              </w:numPr>
              <w:contextualSpacing/>
              <w:jc w:val="left"/>
            </w:pPr>
            <w:r>
              <w:rPr>
                <w:sz w:val="20"/>
                <w:szCs w:val="20"/>
              </w:rPr>
              <w:t>Provide examples of typical feedback instruments and questionnaires</w:t>
            </w:r>
          </w:p>
          <w:p w14:paraId="7842BDFF" w14:textId="11219559" w:rsidR="00077F87" w:rsidRDefault="00077F87" w:rsidP="00DC3C4C">
            <w:pPr>
              <w:pStyle w:val="ListParagraph"/>
              <w:widowControl/>
              <w:numPr>
                <w:ilvl w:val="0"/>
                <w:numId w:val="14"/>
              </w:numPr>
              <w:contextualSpacing/>
              <w:jc w:val="left"/>
            </w:pPr>
            <w:r>
              <w:rPr>
                <w:sz w:val="20"/>
                <w:szCs w:val="20"/>
              </w:rPr>
              <w:t>Contribute towards the further development of this and related policies, provide recommendations based on emerging best practice (nationally and internationally) and research to the AMT and the Office of the Registrar</w:t>
            </w:r>
          </w:p>
        </w:tc>
      </w:tr>
      <w:tr w:rsidR="00077F87" w14:paraId="068181CA" w14:textId="77777777" w:rsidTr="0064778F">
        <w:tc>
          <w:tcPr>
            <w:tcW w:w="0" w:type="auto"/>
          </w:tcPr>
          <w:p w14:paraId="484CB564" w14:textId="39FCC4E0" w:rsidR="00077F87" w:rsidRDefault="00077F87" w:rsidP="00FD57F7">
            <w:pPr>
              <w:rPr>
                <w:b/>
              </w:rPr>
            </w:pPr>
            <w:r>
              <w:rPr>
                <w:b/>
              </w:rPr>
              <w:t>Quality Office</w:t>
            </w:r>
          </w:p>
        </w:tc>
        <w:tc>
          <w:tcPr>
            <w:tcW w:w="0" w:type="auto"/>
          </w:tcPr>
          <w:p w14:paraId="41A49FE0" w14:textId="68BB7CC6" w:rsidR="00077F87" w:rsidRDefault="00077F87" w:rsidP="00DC3C4C">
            <w:pPr>
              <w:pStyle w:val="ListParagraph"/>
              <w:widowControl/>
              <w:numPr>
                <w:ilvl w:val="0"/>
                <w:numId w:val="14"/>
              </w:numPr>
              <w:contextualSpacing/>
              <w:jc w:val="left"/>
            </w:pPr>
            <w:r>
              <w:t>Collate summary reports from Schools and Colleges on behalf of the Registrar</w:t>
            </w:r>
            <w:r w:rsidR="007F7CBE">
              <w:t>.</w:t>
            </w:r>
          </w:p>
          <w:p w14:paraId="41D79525" w14:textId="5580490F" w:rsidR="00077F87" w:rsidRDefault="00077F87" w:rsidP="00DC3C4C">
            <w:pPr>
              <w:pStyle w:val="ListParagraph"/>
              <w:widowControl/>
              <w:numPr>
                <w:ilvl w:val="0"/>
                <w:numId w:val="14"/>
              </w:numPr>
              <w:contextualSpacing/>
              <w:jc w:val="left"/>
            </w:pPr>
            <w:r>
              <w:rPr>
                <w:sz w:val="20"/>
                <w:szCs w:val="20"/>
              </w:rPr>
              <w:t xml:space="preserve">From time to time, audit such processes at the School, discipline, </w:t>
            </w:r>
            <w:proofErr w:type="spellStart"/>
            <w:r>
              <w:rPr>
                <w:sz w:val="20"/>
                <w:szCs w:val="20"/>
              </w:rPr>
              <w:t>programme</w:t>
            </w:r>
            <w:proofErr w:type="spellEnd"/>
            <w:r>
              <w:rPr>
                <w:sz w:val="20"/>
                <w:szCs w:val="20"/>
              </w:rPr>
              <w:t xml:space="preserve">, or College level and request information regarding the extent to which feedback is being collected, evidence of feedback, the methods used, and how such feedback is being responded to.  </w:t>
            </w:r>
          </w:p>
        </w:tc>
      </w:tr>
      <w:tr w:rsidR="00077F87" w14:paraId="24ED8C41" w14:textId="77777777" w:rsidTr="0064778F">
        <w:tc>
          <w:tcPr>
            <w:tcW w:w="0" w:type="auto"/>
          </w:tcPr>
          <w:p w14:paraId="1AB47804" w14:textId="63961A22" w:rsidR="00077F87" w:rsidRDefault="00077F87" w:rsidP="00FD57F7">
            <w:pPr>
              <w:rPr>
                <w:b/>
              </w:rPr>
            </w:pPr>
            <w:r>
              <w:rPr>
                <w:b/>
              </w:rPr>
              <w:t>Office of the Registrar</w:t>
            </w:r>
          </w:p>
        </w:tc>
        <w:tc>
          <w:tcPr>
            <w:tcW w:w="0" w:type="auto"/>
          </w:tcPr>
          <w:p w14:paraId="56AC1E18" w14:textId="77777777" w:rsidR="00077F87" w:rsidRPr="007F7CBE" w:rsidRDefault="007F7CBE" w:rsidP="00DC3C4C">
            <w:pPr>
              <w:pStyle w:val="ListParagraph"/>
              <w:widowControl/>
              <w:numPr>
                <w:ilvl w:val="0"/>
                <w:numId w:val="14"/>
              </w:numPr>
              <w:contextualSpacing/>
              <w:jc w:val="left"/>
            </w:pPr>
            <w:r>
              <w:rPr>
                <w:sz w:val="20"/>
                <w:szCs w:val="20"/>
              </w:rPr>
              <w:t>Ensure that feedback on modules and programmes is placed on the agenda of the AMT (Academic Management Team) annually, allowing opportunities for the discussion both of the operation of the processes and to highlight any issues which are pertinent at the level of the university as a whole.</w:t>
            </w:r>
          </w:p>
          <w:p w14:paraId="186CE72E" w14:textId="5E1DE0E0" w:rsidR="007F7CBE" w:rsidRDefault="007F7CBE" w:rsidP="00DC3C4C">
            <w:pPr>
              <w:pStyle w:val="ListParagraph"/>
              <w:widowControl/>
              <w:numPr>
                <w:ilvl w:val="0"/>
                <w:numId w:val="14"/>
              </w:numPr>
              <w:contextualSpacing/>
              <w:jc w:val="left"/>
            </w:pPr>
            <w:r>
              <w:rPr>
                <w:sz w:val="20"/>
                <w:szCs w:val="20"/>
              </w:rPr>
              <w:t xml:space="preserve">Work with others (Deans, UMT, Quality Office, support service heads, </w:t>
            </w:r>
            <w:proofErr w:type="spellStart"/>
            <w:r>
              <w:rPr>
                <w:sz w:val="20"/>
                <w:szCs w:val="20"/>
              </w:rPr>
              <w:t>etc</w:t>
            </w:r>
            <w:proofErr w:type="spellEnd"/>
            <w:r>
              <w:rPr>
                <w:sz w:val="20"/>
                <w:szCs w:val="20"/>
              </w:rPr>
              <w:t>) to ensure that appropriate resources are available to support the routine operation of module and course feedback.</w:t>
            </w:r>
          </w:p>
        </w:tc>
      </w:tr>
      <w:tr w:rsidR="007F7CBE" w14:paraId="261289C0" w14:textId="77777777" w:rsidTr="0064778F">
        <w:tc>
          <w:tcPr>
            <w:tcW w:w="0" w:type="auto"/>
          </w:tcPr>
          <w:p w14:paraId="2B554E75" w14:textId="303B62A5" w:rsidR="007F7CBE" w:rsidRDefault="007F7CBE" w:rsidP="00FD57F7">
            <w:pPr>
              <w:rPr>
                <w:b/>
              </w:rPr>
            </w:pPr>
            <w:r>
              <w:rPr>
                <w:b/>
              </w:rPr>
              <w:t>Students</w:t>
            </w:r>
          </w:p>
        </w:tc>
        <w:tc>
          <w:tcPr>
            <w:tcW w:w="0" w:type="auto"/>
          </w:tcPr>
          <w:p w14:paraId="12ECE3A9" w14:textId="77777777" w:rsidR="007F7CBE" w:rsidRDefault="007F7CBE" w:rsidP="00DC3C4C">
            <w:pPr>
              <w:pStyle w:val="ListParagraph"/>
              <w:widowControl/>
              <w:numPr>
                <w:ilvl w:val="0"/>
                <w:numId w:val="14"/>
              </w:numPr>
              <w:contextualSpacing/>
              <w:jc w:val="left"/>
              <w:rPr>
                <w:sz w:val="20"/>
                <w:szCs w:val="20"/>
              </w:rPr>
            </w:pPr>
            <w:r>
              <w:rPr>
                <w:sz w:val="20"/>
                <w:szCs w:val="20"/>
              </w:rPr>
              <w:t>Encouraged to avail of opportunities to provide feedback on modules, courses, and their approaches to learning.</w:t>
            </w:r>
          </w:p>
          <w:p w14:paraId="6382CCD6" w14:textId="77777777" w:rsidR="007F7CBE" w:rsidRDefault="007F7CBE" w:rsidP="007F7CBE">
            <w:pPr>
              <w:pStyle w:val="ListParagraph"/>
              <w:widowControl/>
              <w:numPr>
                <w:ilvl w:val="0"/>
                <w:numId w:val="14"/>
              </w:numPr>
              <w:contextualSpacing/>
              <w:jc w:val="left"/>
              <w:rPr>
                <w:sz w:val="20"/>
                <w:szCs w:val="20"/>
              </w:rPr>
            </w:pPr>
            <w:r>
              <w:rPr>
                <w:sz w:val="20"/>
                <w:szCs w:val="20"/>
              </w:rPr>
              <w:t>Respond respectfully and constructively, avoiding inappropriate language, tone, or comments.</w:t>
            </w:r>
          </w:p>
          <w:p w14:paraId="02AF9C79" w14:textId="59C7DD54" w:rsidR="007F7CBE" w:rsidRPr="007F7CBE" w:rsidRDefault="007F7CBE" w:rsidP="007F7CBE">
            <w:pPr>
              <w:widowControl/>
              <w:contextualSpacing/>
              <w:rPr>
                <w:sz w:val="20"/>
                <w:szCs w:val="20"/>
              </w:rPr>
            </w:pPr>
          </w:p>
        </w:tc>
      </w:tr>
    </w:tbl>
    <w:p w14:paraId="5892F196" w14:textId="24E694F3" w:rsidR="00DC3C4C" w:rsidRDefault="00DC3C4C" w:rsidP="00F24942">
      <w:pPr>
        <w:pStyle w:val="BodyText"/>
        <w:spacing w:before="3" w:after="1"/>
        <w:rPr>
          <w:b/>
          <w:lang w:val="en-GB"/>
        </w:rPr>
      </w:pPr>
    </w:p>
    <w:p w14:paraId="01516447" w14:textId="77777777" w:rsidR="009C1D08" w:rsidRDefault="009C1D08" w:rsidP="00DC3C4C">
      <w:pPr>
        <w:rPr>
          <w:b/>
        </w:rPr>
      </w:pPr>
    </w:p>
    <w:p w14:paraId="7770832A" w14:textId="2F6DCF69" w:rsidR="00DC3C4C" w:rsidRDefault="00DC3C4C" w:rsidP="00F24942">
      <w:pPr>
        <w:pStyle w:val="BodyText"/>
        <w:spacing w:before="3" w:after="1"/>
        <w:rPr>
          <w:b/>
          <w:lang w:val="en-GB"/>
        </w:rPr>
      </w:pPr>
    </w:p>
    <w:p w14:paraId="7348D002" w14:textId="77777777" w:rsidR="00DC3C4C" w:rsidRDefault="00DC3C4C" w:rsidP="00F24942">
      <w:pPr>
        <w:pStyle w:val="BodyText"/>
        <w:spacing w:before="3" w:after="1"/>
        <w:rPr>
          <w:b/>
          <w:lang w:val="en-GB"/>
        </w:rPr>
      </w:pPr>
    </w:p>
    <w:p w14:paraId="4B60DF07" w14:textId="77777777" w:rsidR="00DC3C4C" w:rsidRPr="00543D14" w:rsidRDefault="00DC3C4C" w:rsidP="00F24942">
      <w:pPr>
        <w:pStyle w:val="BodyText"/>
        <w:spacing w:before="3" w:after="1"/>
        <w:rPr>
          <w:b/>
          <w:lang w:val="en-GB"/>
        </w:rPr>
      </w:pPr>
    </w:p>
    <w:p w14:paraId="4422C030" w14:textId="77777777" w:rsidR="00843E16" w:rsidRDefault="00843E16" w:rsidP="00843E16">
      <w:pPr>
        <w:pStyle w:val="ListParagraph"/>
        <w:tabs>
          <w:tab w:val="left" w:pos="554"/>
        </w:tabs>
        <w:ind w:left="0" w:firstLine="0"/>
        <w:jc w:val="left"/>
        <w:rPr>
          <w:b/>
          <w:sz w:val="18"/>
          <w:lang w:val="en-GB"/>
        </w:rPr>
      </w:pPr>
    </w:p>
    <w:p w14:paraId="2FAFF067" w14:textId="08FBE694" w:rsidR="00D4710B" w:rsidRPr="00543D14" w:rsidRDefault="00D4710B" w:rsidP="00543D14">
      <w:pPr>
        <w:tabs>
          <w:tab w:val="left" w:pos="4054"/>
        </w:tabs>
        <w:rPr>
          <w:lang w:val="en-GB"/>
        </w:rPr>
      </w:pPr>
    </w:p>
    <w:sectPr w:rsidR="00D4710B" w:rsidRPr="00543D14" w:rsidSect="00843E16">
      <w:headerReference w:type="even" r:id="rId8"/>
      <w:headerReference w:type="default" r:id="rId9"/>
      <w:footerReference w:type="even" r:id="rId10"/>
      <w:footerReference w:type="default" r:id="rId11"/>
      <w:headerReference w:type="first" r:id="rId12"/>
      <w:footerReference w:type="first" r:id="rId13"/>
      <w:pgSz w:w="11900" w:h="16850"/>
      <w:pgMar w:top="1440" w:right="1080" w:bottom="1169" w:left="108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45BE84" w14:textId="77777777" w:rsidR="00F0676E" w:rsidRDefault="00F0676E" w:rsidP="00BF72BF">
      <w:r>
        <w:separator/>
      </w:r>
    </w:p>
  </w:endnote>
  <w:endnote w:type="continuationSeparator" w:id="0">
    <w:p w14:paraId="3B59B476" w14:textId="77777777" w:rsidR="00F0676E" w:rsidRDefault="00F0676E" w:rsidP="00BF7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ＭＳ 明朝">
    <w:charset w:val="80"/>
    <w:family w:val="roman"/>
    <w:pitch w:val="fixed"/>
    <w:sig w:usb0="E00002FF" w:usb1="6AC7FDFB" w:usb2="08000012" w:usb3="00000000" w:csb0="0002009F" w:csb1="00000000"/>
  </w:font>
  <w:font w:name="Helvetica">
    <w:panose1 w:val="00000000000000000000"/>
    <w:charset w:val="00"/>
    <w:family w:val="swiss"/>
    <w:pitch w:val="variable"/>
    <w:sig w:usb0="E00002FF" w:usb1="5000785B" w:usb2="00000000" w:usb3="00000000" w:csb0="0000019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93AC1" w14:textId="77777777" w:rsidR="00DA21F4" w:rsidRDefault="00DA21F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826382"/>
      <w:docPartObj>
        <w:docPartGallery w:val="Page Numbers (Bottom of Page)"/>
        <w:docPartUnique/>
      </w:docPartObj>
    </w:sdtPr>
    <w:sdtEndPr>
      <w:rPr>
        <w:noProof/>
      </w:rPr>
    </w:sdtEndPr>
    <w:sdtContent>
      <w:p w14:paraId="5438EA79" w14:textId="4DA9C40B" w:rsidR="00542F72" w:rsidRDefault="00542F72">
        <w:pPr>
          <w:pStyle w:val="Footer"/>
          <w:jc w:val="right"/>
        </w:pPr>
        <w:r>
          <w:fldChar w:fldCharType="begin"/>
        </w:r>
        <w:r>
          <w:instrText xml:space="preserve"> PAGE   \* MERGEFORMAT </w:instrText>
        </w:r>
        <w:r>
          <w:fldChar w:fldCharType="separate"/>
        </w:r>
        <w:r w:rsidR="00D1090C">
          <w:rPr>
            <w:noProof/>
          </w:rPr>
          <w:t>1</w:t>
        </w:r>
        <w:r>
          <w:rPr>
            <w:noProof/>
          </w:rPr>
          <w:fldChar w:fldCharType="end"/>
        </w:r>
      </w:p>
    </w:sdtContent>
  </w:sdt>
  <w:p w14:paraId="5ABF616A" w14:textId="77777777" w:rsidR="00542F72" w:rsidRDefault="00542F72">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48284D" w14:textId="77777777" w:rsidR="00DA21F4" w:rsidRDefault="00DA21F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2CFC18" w14:textId="77777777" w:rsidR="00F0676E" w:rsidRDefault="00F0676E" w:rsidP="00BF72BF">
      <w:r>
        <w:separator/>
      </w:r>
    </w:p>
  </w:footnote>
  <w:footnote w:type="continuationSeparator" w:id="0">
    <w:p w14:paraId="223D72F2" w14:textId="77777777" w:rsidR="00F0676E" w:rsidRDefault="00F0676E" w:rsidP="00BF72BF">
      <w:r>
        <w:continuationSeparator/>
      </w:r>
    </w:p>
  </w:footnote>
  <w:footnote w:id="1">
    <w:p w14:paraId="21D1E8E0" w14:textId="77777777" w:rsidR="00542F72" w:rsidRDefault="00542F72" w:rsidP="007F7CBE">
      <w:pPr>
        <w:pStyle w:val="FootnoteText"/>
      </w:pPr>
      <w:r>
        <w:rPr>
          <w:rStyle w:val="FootnoteReference"/>
        </w:rPr>
        <w:footnoteRef/>
      </w:r>
      <w:r>
        <w:t xml:space="preserve"> </w:t>
      </w:r>
      <w:r w:rsidRPr="00E54DB8">
        <w:rPr>
          <w:sz w:val="20"/>
          <w:szCs w:val="20"/>
        </w:rPr>
        <w:t xml:space="preserve">Respondents should take care to </w:t>
      </w:r>
      <w:r>
        <w:rPr>
          <w:sz w:val="20"/>
          <w:szCs w:val="20"/>
        </w:rPr>
        <w:t xml:space="preserve">ensure that they avoid any </w:t>
      </w:r>
      <w:r w:rsidRPr="00E54DB8">
        <w:rPr>
          <w:sz w:val="20"/>
          <w:szCs w:val="20"/>
        </w:rPr>
        <w:t>bias on the basis of gender, ethnic identity, sexual orientation, faith, etc.</w:t>
      </w:r>
      <w:r>
        <w:rPr>
          <w:sz w:val="20"/>
          <w:szCs w:val="20"/>
        </w:rPr>
        <w:t xml:space="preserve"> Comments which are blatantly discriminatory or offensive are a violation of the Code of Conduct and not compatible with the ethos of the institution. </w:t>
      </w:r>
    </w:p>
  </w:footnote>
  <w:footnote w:id="2">
    <w:p w14:paraId="4ABFAB72" w14:textId="337D1902" w:rsidR="000362FB" w:rsidRPr="00D30D12" w:rsidRDefault="000362FB" w:rsidP="00D30D12">
      <w:pPr>
        <w:tabs>
          <w:tab w:val="left" w:pos="841"/>
        </w:tabs>
        <w:ind w:right="113"/>
        <w:jc w:val="both"/>
        <w:rPr>
          <w:lang w:val="en-GB"/>
        </w:rPr>
      </w:pPr>
      <w:r>
        <w:rPr>
          <w:rStyle w:val="FootnoteReference"/>
        </w:rPr>
        <w:footnoteRef/>
      </w:r>
      <w:r>
        <w:t xml:space="preserve"> </w:t>
      </w:r>
      <w:r w:rsidR="00D30D12">
        <w:rPr>
          <w:sz w:val="20"/>
          <w:szCs w:val="20"/>
          <w:lang w:val="en-GB"/>
        </w:rPr>
        <w:t>O</w:t>
      </w:r>
      <w:r w:rsidRPr="00D30D12">
        <w:rPr>
          <w:sz w:val="20"/>
          <w:szCs w:val="20"/>
          <w:lang w:val="en-GB"/>
        </w:rPr>
        <w:t>r reasons why it might not be feasible to make suggested changes</w:t>
      </w:r>
    </w:p>
  </w:footnote>
  <w:footnote w:id="3">
    <w:p w14:paraId="79AB30C8" w14:textId="0E956A0A" w:rsidR="00D634E9" w:rsidRPr="00D634E9" w:rsidRDefault="00D634E9">
      <w:pPr>
        <w:pStyle w:val="FootnoteText"/>
      </w:pPr>
      <w:r>
        <w:rPr>
          <w:rStyle w:val="FootnoteReference"/>
        </w:rPr>
        <w:footnoteRef/>
      </w:r>
      <w:r>
        <w:t xml:space="preserve"> </w:t>
      </w:r>
      <w:r w:rsidRPr="00D30D12">
        <w:rPr>
          <w:sz w:val="20"/>
          <w:szCs w:val="20"/>
        </w:rPr>
        <w:t>In many cases, in practice, this is carried out at the School or Discipline level and the individual lecturer is not involved directly in the data collection.</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084CB" w14:textId="0C0B6953" w:rsidR="00542F72" w:rsidRDefault="00542F7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CDFDF2" w14:textId="46BE4289" w:rsidR="00542F72" w:rsidRDefault="00542F72">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28E39" w14:textId="2CD449AE" w:rsidR="00542F72" w:rsidRDefault="00542F7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A7152"/>
    <w:multiLevelType w:val="multilevel"/>
    <w:tmpl w:val="7102C29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1870297C"/>
    <w:multiLevelType w:val="hybridMultilevel"/>
    <w:tmpl w:val="071E485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92A1EAF"/>
    <w:multiLevelType w:val="hybridMultilevel"/>
    <w:tmpl w:val="B100B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A3833D5"/>
    <w:multiLevelType w:val="multilevel"/>
    <w:tmpl w:val="5746A904"/>
    <w:lvl w:ilvl="0">
      <w:start w:val="4"/>
      <w:numFmt w:val="decimal"/>
      <w:lvlText w:val="%1"/>
      <w:lvlJc w:val="left"/>
      <w:pPr>
        <w:ind w:left="553" w:hanging="334"/>
      </w:pPr>
      <w:rPr>
        <w:rFonts w:hint="default"/>
      </w:rPr>
    </w:lvl>
    <w:lvl w:ilvl="1">
      <w:start w:val="1"/>
      <w:numFmt w:val="decimal"/>
      <w:lvlText w:val="%1.%2"/>
      <w:lvlJc w:val="left"/>
      <w:pPr>
        <w:ind w:left="553" w:hanging="334"/>
      </w:pPr>
      <w:rPr>
        <w:rFonts w:ascii="Calibri" w:eastAsia="Calibri" w:hAnsi="Calibri" w:cs="Calibri" w:hint="default"/>
        <w:b/>
        <w:bCs/>
        <w:spacing w:val="-2"/>
        <w:w w:val="100"/>
        <w:sz w:val="22"/>
        <w:szCs w:val="22"/>
      </w:rPr>
    </w:lvl>
    <w:lvl w:ilvl="2">
      <w:start w:val="1"/>
      <w:numFmt w:val="bullet"/>
      <w:lvlText w:val="•"/>
      <w:lvlJc w:val="left"/>
      <w:pPr>
        <w:ind w:left="940" w:hanging="361"/>
      </w:pPr>
      <w:rPr>
        <w:rFonts w:ascii="Arial" w:eastAsia="Arial" w:hAnsi="Arial" w:cs="Arial" w:hint="default"/>
        <w:w w:val="131"/>
        <w:sz w:val="22"/>
        <w:szCs w:val="22"/>
      </w:rPr>
    </w:lvl>
    <w:lvl w:ilvl="3">
      <w:start w:val="1"/>
      <w:numFmt w:val="bullet"/>
      <w:lvlText w:val="•"/>
      <w:lvlJc w:val="left"/>
      <w:pPr>
        <w:ind w:left="2810" w:hanging="361"/>
      </w:pPr>
      <w:rPr>
        <w:rFonts w:hint="default"/>
      </w:rPr>
    </w:lvl>
    <w:lvl w:ilvl="4">
      <w:start w:val="1"/>
      <w:numFmt w:val="bullet"/>
      <w:lvlText w:val="•"/>
      <w:lvlJc w:val="left"/>
      <w:pPr>
        <w:ind w:left="3746" w:hanging="361"/>
      </w:pPr>
      <w:rPr>
        <w:rFonts w:hint="default"/>
      </w:rPr>
    </w:lvl>
    <w:lvl w:ilvl="5">
      <w:start w:val="1"/>
      <w:numFmt w:val="bullet"/>
      <w:lvlText w:val="•"/>
      <w:lvlJc w:val="left"/>
      <w:pPr>
        <w:ind w:left="4681" w:hanging="361"/>
      </w:pPr>
      <w:rPr>
        <w:rFonts w:hint="default"/>
      </w:rPr>
    </w:lvl>
    <w:lvl w:ilvl="6">
      <w:start w:val="1"/>
      <w:numFmt w:val="bullet"/>
      <w:lvlText w:val="•"/>
      <w:lvlJc w:val="left"/>
      <w:pPr>
        <w:ind w:left="5617" w:hanging="361"/>
      </w:pPr>
      <w:rPr>
        <w:rFonts w:hint="default"/>
      </w:rPr>
    </w:lvl>
    <w:lvl w:ilvl="7">
      <w:start w:val="1"/>
      <w:numFmt w:val="bullet"/>
      <w:lvlText w:val="•"/>
      <w:lvlJc w:val="left"/>
      <w:pPr>
        <w:ind w:left="6552" w:hanging="361"/>
      </w:pPr>
      <w:rPr>
        <w:rFonts w:hint="default"/>
      </w:rPr>
    </w:lvl>
    <w:lvl w:ilvl="8">
      <w:start w:val="1"/>
      <w:numFmt w:val="bullet"/>
      <w:lvlText w:val="•"/>
      <w:lvlJc w:val="left"/>
      <w:pPr>
        <w:ind w:left="7488" w:hanging="361"/>
      </w:pPr>
      <w:rPr>
        <w:rFonts w:hint="default"/>
      </w:rPr>
    </w:lvl>
  </w:abstractNum>
  <w:abstractNum w:abstractNumId="4">
    <w:nsid w:val="3C9E336E"/>
    <w:multiLevelType w:val="hybridMultilevel"/>
    <w:tmpl w:val="8688B4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nsid w:val="40861F45"/>
    <w:multiLevelType w:val="hybridMultilevel"/>
    <w:tmpl w:val="AFF0414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30E28E0"/>
    <w:multiLevelType w:val="hybridMultilevel"/>
    <w:tmpl w:val="84F29C5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nsid w:val="4921319D"/>
    <w:multiLevelType w:val="multilevel"/>
    <w:tmpl w:val="03C4AFE8"/>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nsid w:val="4FE841A0"/>
    <w:multiLevelType w:val="hybridMultilevel"/>
    <w:tmpl w:val="9D3EB990"/>
    <w:lvl w:ilvl="0" w:tplc="6DA2506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6F23D3E"/>
    <w:multiLevelType w:val="hybridMultilevel"/>
    <w:tmpl w:val="63BA3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A74423A"/>
    <w:multiLevelType w:val="hybridMultilevel"/>
    <w:tmpl w:val="FC562E5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nsid w:val="6D8B2BD2"/>
    <w:multiLevelType w:val="hybridMultilevel"/>
    <w:tmpl w:val="8B2CB74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nsid w:val="74CA3464"/>
    <w:multiLevelType w:val="hybridMultilevel"/>
    <w:tmpl w:val="FBA6A688"/>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5DC4A81"/>
    <w:multiLevelType w:val="multilevel"/>
    <w:tmpl w:val="73AAA426"/>
    <w:lvl w:ilvl="0">
      <w:start w:val="2"/>
      <w:numFmt w:val="decimal"/>
      <w:lvlText w:val="%1"/>
      <w:lvlJc w:val="left"/>
      <w:pPr>
        <w:ind w:left="501" w:hanging="332"/>
      </w:pPr>
      <w:rPr>
        <w:rFonts w:hint="default"/>
      </w:rPr>
    </w:lvl>
    <w:lvl w:ilvl="1">
      <w:start w:val="1"/>
      <w:numFmt w:val="decimal"/>
      <w:lvlText w:val="%1.%2"/>
      <w:lvlJc w:val="left"/>
      <w:pPr>
        <w:ind w:left="501" w:hanging="332"/>
        <w:jc w:val="right"/>
      </w:pPr>
      <w:rPr>
        <w:rFonts w:hint="default"/>
        <w:spacing w:val="-1"/>
        <w:w w:val="100"/>
        <w:u w:val="single" w:color="000000"/>
      </w:rPr>
    </w:lvl>
    <w:lvl w:ilvl="2">
      <w:start w:val="1"/>
      <w:numFmt w:val="decimal"/>
      <w:lvlText w:val="%3."/>
      <w:lvlJc w:val="left"/>
      <w:pPr>
        <w:ind w:left="840" w:hanging="361"/>
      </w:pPr>
      <w:rPr>
        <w:rFonts w:ascii="Calibri" w:eastAsia="Calibri" w:hAnsi="Calibri" w:cs="Calibri" w:hint="default"/>
        <w:w w:val="100"/>
        <w:sz w:val="22"/>
        <w:szCs w:val="22"/>
      </w:rPr>
    </w:lvl>
    <w:lvl w:ilvl="3">
      <w:start w:val="1"/>
      <w:numFmt w:val="bullet"/>
      <w:lvlText w:val="•"/>
      <w:lvlJc w:val="left"/>
      <w:pPr>
        <w:ind w:left="1889" w:hanging="361"/>
      </w:pPr>
      <w:rPr>
        <w:rFonts w:hint="default"/>
      </w:rPr>
    </w:lvl>
    <w:lvl w:ilvl="4">
      <w:start w:val="1"/>
      <w:numFmt w:val="bullet"/>
      <w:lvlText w:val="•"/>
      <w:lvlJc w:val="left"/>
      <w:pPr>
        <w:ind w:left="2939" w:hanging="361"/>
      </w:pPr>
      <w:rPr>
        <w:rFonts w:hint="default"/>
      </w:rPr>
    </w:lvl>
    <w:lvl w:ilvl="5">
      <w:start w:val="1"/>
      <w:numFmt w:val="bullet"/>
      <w:lvlText w:val="•"/>
      <w:lvlJc w:val="left"/>
      <w:pPr>
        <w:ind w:left="3989" w:hanging="361"/>
      </w:pPr>
      <w:rPr>
        <w:rFonts w:hint="default"/>
      </w:rPr>
    </w:lvl>
    <w:lvl w:ilvl="6">
      <w:start w:val="1"/>
      <w:numFmt w:val="bullet"/>
      <w:lvlText w:val="•"/>
      <w:lvlJc w:val="left"/>
      <w:pPr>
        <w:ind w:left="5039" w:hanging="361"/>
      </w:pPr>
      <w:rPr>
        <w:rFonts w:hint="default"/>
      </w:rPr>
    </w:lvl>
    <w:lvl w:ilvl="7">
      <w:start w:val="1"/>
      <w:numFmt w:val="bullet"/>
      <w:lvlText w:val="•"/>
      <w:lvlJc w:val="left"/>
      <w:pPr>
        <w:ind w:left="6089" w:hanging="361"/>
      </w:pPr>
      <w:rPr>
        <w:rFonts w:hint="default"/>
      </w:rPr>
    </w:lvl>
    <w:lvl w:ilvl="8">
      <w:start w:val="1"/>
      <w:numFmt w:val="bullet"/>
      <w:lvlText w:val="•"/>
      <w:lvlJc w:val="left"/>
      <w:pPr>
        <w:ind w:left="7139" w:hanging="361"/>
      </w:pPr>
      <w:rPr>
        <w:rFonts w:hint="default"/>
      </w:rPr>
    </w:lvl>
  </w:abstractNum>
  <w:abstractNum w:abstractNumId="14">
    <w:nsid w:val="76B95C14"/>
    <w:multiLevelType w:val="hybridMultilevel"/>
    <w:tmpl w:val="9894F02C"/>
    <w:lvl w:ilvl="0" w:tplc="F976B65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779310C5"/>
    <w:multiLevelType w:val="hybridMultilevel"/>
    <w:tmpl w:val="0A30464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3"/>
  </w:num>
  <w:num w:numId="2">
    <w:abstractNumId w:val="13"/>
  </w:num>
  <w:num w:numId="3">
    <w:abstractNumId w:val="1"/>
  </w:num>
  <w:num w:numId="4">
    <w:abstractNumId w:val="14"/>
  </w:num>
  <w:num w:numId="5">
    <w:abstractNumId w:val="9"/>
  </w:num>
  <w:num w:numId="6">
    <w:abstractNumId w:val="8"/>
  </w:num>
  <w:num w:numId="7">
    <w:abstractNumId w:val="5"/>
  </w:num>
  <w:num w:numId="8">
    <w:abstractNumId w:val="7"/>
  </w:num>
  <w:num w:numId="9">
    <w:abstractNumId w:val="2"/>
  </w:num>
  <w:num w:numId="10">
    <w:abstractNumId w:val="11"/>
  </w:num>
  <w:num w:numId="11">
    <w:abstractNumId w:val="10"/>
  </w:num>
  <w:num w:numId="12">
    <w:abstractNumId w:val="6"/>
  </w:num>
  <w:num w:numId="13">
    <w:abstractNumId w:val="4"/>
  </w:num>
  <w:num w:numId="14">
    <w:abstractNumId w:val="15"/>
  </w:num>
  <w:num w:numId="15">
    <w:abstractNumId w:val="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957"/>
    <w:rsid w:val="00011CF9"/>
    <w:rsid w:val="000222F0"/>
    <w:rsid w:val="000362FB"/>
    <w:rsid w:val="00046359"/>
    <w:rsid w:val="00064CA6"/>
    <w:rsid w:val="0007516F"/>
    <w:rsid w:val="00075298"/>
    <w:rsid w:val="00077F87"/>
    <w:rsid w:val="0009600D"/>
    <w:rsid w:val="000B1FE3"/>
    <w:rsid w:val="000E10BC"/>
    <w:rsid w:val="000F152F"/>
    <w:rsid w:val="000F6723"/>
    <w:rsid w:val="00110272"/>
    <w:rsid w:val="00116A55"/>
    <w:rsid w:val="0014044E"/>
    <w:rsid w:val="00145531"/>
    <w:rsid w:val="0015519E"/>
    <w:rsid w:val="001A56C3"/>
    <w:rsid w:val="001C54A1"/>
    <w:rsid w:val="001D1F0D"/>
    <w:rsid w:val="001F49B0"/>
    <w:rsid w:val="001F6783"/>
    <w:rsid w:val="00204F56"/>
    <w:rsid w:val="002112AF"/>
    <w:rsid w:val="00240BEC"/>
    <w:rsid w:val="00246957"/>
    <w:rsid w:val="0025024F"/>
    <w:rsid w:val="002A6ACD"/>
    <w:rsid w:val="002B70F7"/>
    <w:rsid w:val="002C527A"/>
    <w:rsid w:val="002F348A"/>
    <w:rsid w:val="0032643D"/>
    <w:rsid w:val="00330E53"/>
    <w:rsid w:val="00391ACF"/>
    <w:rsid w:val="00395DE0"/>
    <w:rsid w:val="003A07F6"/>
    <w:rsid w:val="003B23D8"/>
    <w:rsid w:val="003D0441"/>
    <w:rsid w:val="003F4A23"/>
    <w:rsid w:val="00403B38"/>
    <w:rsid w:val="004269CF"/>
    <w:rsid w:val="0043433C"/>
    <w:rsid w:val="004510DE"/>
    <w:rsid w:val="0045341E"/>
    <w:rsid w:val="00454C0A"/>
    <w:rsid w:val="0045644B"/>
    <w:rsid w:val="00474D16"/>
    <w:rsid w:val="004B6AEC"/>
    <w:rsid w:val="004C6887"/>
    <w:rsid w:val="004D409C"/>
    <w:rsid w:val="004E0DE5"/>
    <w:rsid w:val="004E5196"/>
    <w:rsid w:val="004F3BE8"/>
    <w:rsid w:val="00505A95"/>
    <w:rsid w:val="00536B73"/>
    <w:rsid w:val="0054135B"/>
    <w:rsid w:val="0054169C"/>
    <w:rsid w:val="00542F72"/>
    <w:rsid w:val="00543D14"/>
    <w:rsid w:val="0055338D"/>
    <w:rsid w:val="00573319"/>
    <w:rsid w:val="005849C2"/>
    <w:rsid w:val="005D3F23"/>
    <w:rsid w:val="00606AD5"/>
    <w:rsid w:val="0062358C"/>
    <w:rsid w:val="00626FCB"/>
    <w:rsid w:val="006369C1"/>
    <w:rsid w:val="006453B1"/>
    <w:rsid w:val="0064778F"/>
    <w:rsid w:val="00685781"/>
    <w:rsid w:val="006909B5"/>
    <w:rsid w:val="006A69E4"/>
    <w:rsid w:val="006B002D"/>
    <w:rsid w:val="006D6BA1"/>
    <w:rsid w:val="006E01A1"/>
    <w:rsid w:val="006E7903"/>
    <w:rsid w:val="006F02F8"/>
    <w:rsid w:val="0071756E"/>
    <w:rsid w:val="007336D2"/>
    <w:rsid w:val="00733A48"/>
    <w:rsid w:val="00751A7C"/>
    <w:rsid w:val="0075410D"/>
    <w:rsid w:val="007600C9"/>
    <w:rsid w:val="00762329"/>
    <w:rsid w:val="007A0ED3"/>
    <w:rsid w:val="007B4831"/>
    <w:rsid w:val="007C7B41"/>
    <w:rsid w:val="007D3C23"/>
    <w:rsid w:val="007D5CE0"/>
    <w:rsid w:val="007F4E5E"/>
    <w:rsid w:val="007F7CBE"/>
    <w:rsid w:val="0080378C"/>
    <w:rsid w:val="00843E16"/>
    <w:rsid w:val="00874172"/>
    <w:rsid w:val="00883D29"/>
    <w:rsid w:val="00890992"/>
    <w:rsid w:val="008946ED"/>
    <w:rsid w:val="008A113B"/>
    <w:rsid w:val="008C01FD"/>
    <w:rsid w:val="00923F5D"/>
    <w:rsid w:val="009471C6"/>
    <w:rsid w:val="00952202"/>
    <w:rsid w:val="009573F3"/>
    <w:rsid w:val="00970C05"/>
    <w:rsid w:val="00976D1C"/>
    <w:rsid w:val="009C1D08"/>
    <w:rsid w:val="009E73B3"/>
    <w:rsid w:val="009F64F0"/>
    <w:rsid w:val="00A00FE1"/>
    <w:rsid w:val="00A07665"/>
    <w:rsid w:val="00A13384"/>
    <w:rsid w:val="00A15AF7"/>
    <w:rsid w:val="00A31595"/>
    <w:rsid w:val="00A770DE"/>
    <w:rsid w:val="00A91B5F"/>
    <w:rsid w:val="00AE4D00"/>
    <w:rsid w:val="00B063A5"/>
    <w:rsid w:val="00B06CDD"/>
    <w:rsid w:val="00B379B6"/>
    <w:rsid w:val="00B90F91"/>
    <w:rsid w:val="00BC410F"/>
    <w:rsid w:val="00BD3F56"/>
    <w:rsid w:val="00BE16B5"/>
    <w:rsid w:val="00BF72BF"/>
    <w:rsid w:val="00C043BA"/>
    <w:rsid w:val="00C33AC4"/>
    <w:rsid w:val="00C377A9"/>
    <w:rsid w:val="00C41AB5"/>
    <w:rsid w:val="00C64522"/>
    <w:rsid w:val="00C664BD"/>
    <w:rsid w:val="00CA3253"/>
    <w:rsid w:val="00CC5FA0"/>
    <w:rsid w:val="00CE10B2"/>
    <w:rsid w:val="00CF103C"/>
    <w:rsid w:val="00CF59BF"/>
    <w:rsid w:val="00D0601A"/>
    <w:rsid w:val="00D1090C"/>
    <w:rsid w:val="00D23B9E"/>
    <w:rsid w:val="00D30D12"/>
    <w:rsid w:val="00D4710B"/>
    <w:rsid w:val="00D56CC1"/>
    <w:rsid w:val="00D634E9"/>
    <w:rsid w:val="00D65C4F"/>
    <w:rsid w:val="00D8523D"/>
    <w:rsid w:val="00D86047"/>
    <w:rsid w:val="00DA21F4"/>
    <w:rsid w:val="00DA3396"/>
    <w:rsid w:val="00DC3C4C"/>
    <w:rsid w:val="00DE477A"/>
    <w:rsid w:val="00DF5398"/>
    <w:rsid w:val="00E04F10"/>
    <w:rsid w:val="00E05D19"/>
    <w:rsid w:val="00E216EF"/>
    <w:rsid w:val="00E60F0C"/>
    <w:rsid w:val="00E6127A"/>
    <w:rsid w:val="00EE06BE"/>
    <w:rsid w:val="00EF11C9"/>
    <w:rsid w:val="00F0676E"/>
    <w:rsid w:val="00F24942"/>
    <w:rsid w:val="00F37138"/>
    <w:rsid w:val="00F40757"/>
    <w:rsid w:val="00F83259"/>
    <w:rsid w:val="00F96B53"/>
    <w:rsid w:val="00FC0087"/>
    <w:rsid w:val="00FC1B03"/>
    <w:rsid w:val="00FD57F7"/>
    <w:rsid w:val="00FE0416"/>
    <w:rsid w:val="00FF16A0"/>
  </w:rsids>
  <m:mathPr>
    <m:mathFont m:val="Cambria Math"/>
    <m:brkBin m:val="before"/>
    <m:brkBinSub m:val="--"/>
    <m:smallFrac m:val="0"/>
    <m:dispDef/>
    <m:lMargin m:val="0"/>
    <m:rMargin m:val="0"/>
    <m:defJc m:val="centerGroup"/>
    <m:wrapIndent m:val="1440"/>
    <m:intLim m:val="subSup"/>
    <m:naryLim m:val="undOvr"/>
  </m:mathPr>
  <w:themeFontLang w:val="en-IE"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71F9D8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19"/>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820" w:hanging="360"/>
      <w:jc w:val="both"/>
    </w:pPr>
  </w:style>
  <w:style w:type="paragraph" w:customStyle="1" w:styleId="TableParagraph">
    <w:name w:val="Table Paragraph"/>
    <w:basedOn w:val="Normal"/>
    <w:uiPriority w:val="1"/>
    <w:qFormat/>
    <w:pPr>
      <w:ind w:left="100" w:right="97"/>
    </w:pPr>
  </w:style>
  <w:style w:type="paragraph" w:styleId="BalloonText">
    <w:name w:val="Balloon Text"/>
    <w:basedOn w:val="Normal"/>
    <w:link w:val="BalloonTextChar"/>
    <w:uiPriority w:val="99"/>
    <w:semiHidden/>
    <w:unhideWhenUsed/>
    <w:rsid w:val="00606AD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06AD5"/>
    <w:rPr>
      <w:rFonts w:ascii="Lucida Grande" w:eastAsia="Calibri" w:hAnsi="Lucida Grande" w:cs="Lucida Grande"/>
      <w:sz w:val="18"/>
      <w:szCs w:val="18"/>
    </w:rPr>
  </w:style>
  <w:style w:type="paragraph" w:styleId="Header">
    <w:name w:val="header"/>
    <w:basedOn w:val="Normal"/>
    <w:link w:val="HeaderChar"/>
    <w:uiPriority w:val="99"/>
    <w:unhideWhenUsed/>
    <w:rsid w:val="00BF72BF"/>
    <w:pPr>
      <w:tabs>
        <w:tab w:val="center" w:pos="4320"/>
        <w:tab w:val="right" w:pos="8640"/>
      </w:tabs>
    </w:pPr>
  </w:style>
  <w:style w:type="character" w:customStyle="1" w:styleId="HeaderChar">
    <w:name w:val="Header Char"/>
    <w:basedOn w:val="DefaultParagraphFont"/>
    <w:link w:val="Header"/>
    <w:uiPriority w:val="99"/>
    <w:rsid w:val="00BF72BF"/>
    <w:rPr>
      <w:rFonts w:ascii="Calibri" w:eastAsia="Calibri" w:hAnsi="Calibri" w:cs="Calibri"/>
    </w:rPr>
  </w:style>
  <w:style w:type="paragraph" w:styleId="Footer">
    <w:name w:val="footer"/>
    <w:basedOn w:val="Normal"/>
    <w:link w:val="FooterChar"/>
    <w:uiPriority w:val="99"/>
    <w:unhideWhenUsed/>
    <w:rsid w:val="00BF72BF"/>
    <w:pPr>
      <w:tabs>
        <w:tab w:val="center" w:pos="4320"/>
        <w:tab w:val="right" w:pos="8640"/>
      </w:tabs>
    </w:pPr>
  </w:style>
  <w:style w:type="character" w:customStyle="1" w:styleId="FooterChar">
    <w:name w:val="Footer Char"/>
    <w:basedOn w:val="DefaultParagraphFont"/>
    <w:link w:val="Footer"/>
    <w:uiPriority w:val="99"/>
    <w:rsid w:val="00BF72BF"/>
    <w:rPr>
      <w:rFonts w:ascii="Calibri" w:eastAsia="Calibri" w:hAnsi="Calibri" w:cs="Calibri"/>
    </w:rPr>
  </w:style>
  <w:style w:type="character" w:styleId="Hyperlink">
    <w:name w:val="Hyperlink"/>
    <w:basedOn w:val="DefaultParagraphFont"/>
    <w:uiPriority w:val="99"/>
    <w:unhideWhenUsed/>
    <w:rsid w:val="0032643D"/>
    <w:rPr>
      <w:color w:val="0000FF" w:themeColor="hyperlink"/>
      <w:u w:val="single"/>
    </w:rPr>
  </w:style>
  <w:style w:type="character" w:styleId="CommentReference">
    <w:name w:val="annotation reference"/>
    <w:basedOn w:val="DefaultParagraphFont"/>
    <w:uiPriority w:val="99"/>
    <w:semiHidden/>
    <w:unhideWhenUsed/>
    <w:rsid w:val="00AE4D00"/>
    <w:rPr>
      <w:sz w:val="16"/>
      <w:szCs w:val="16"/>
    </w:rPr>
  </w:style>
  <w:style w:type="paragraph" w:styleId="CommentText">
    <w:name w:val="annotation text"/>
    <w:basedOn w:val="Normal"/>
    <w:link w:val="CommentTextChar"/>
    <w:uiPriority w:val="99"/>
    <w:semiHidden/>
    <w:unhideWhenUsed/>
    <w:rsid w:val="00AE4D00"/>
    <w:rPr>
      <w:sz w:val="20"/>
      <w:szCs w:val="20"/>
    </w:rPr>
  </w:style>
  <w:style w:type="character" w:customStyle="1" w:styleId="CommentTextChar">
    <w:name w:val="Comment Text Char"/>
    <w:basedOn w:val="DefaultParagraphFont"/>
    <w:link w:val="CommentText"/>
    <w:uiPriority w:val="99"/>
    <w:semiHidden/>
    <w:rsid w:val="00AE4D00"/>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AE4D00"/>
    <w:rPr>
      <w:b/>
      <w:bCs/>
    </w:rPr>
  </w:style>
  <w:style w:type="character" w:customStyle="1" w:styleId="CommentSubjectChar">
    <w:name w:val="Comment Subject Char"/>
    <w:basedOn w:val="CommentTextChar"/>
    <w:link w:val="CommentSubject"/>
    <w:uiPriority w:val="99"/>
    <w:semiHidden/>
    <w:rsid w:val="00AE4D00"/>
    <w:rPr>
      <w:rFonts w:ascii="Calibri" w:eastAsia="Calibri" w:hAnsi="Calibri" w:cs="Calibri"/>
      <w:b/>
      <w:bCs/>
      <w:sz w:val="20"/>
      <w:szCs w:val="20"/>
    </w:rPr>
  </w:style>
  <w:style w:type="character" w:styleId="FollowedHyperlink">
    <w:name w:val="FollowedHyperlink"/>
    <w:basedOn w:val="DefaultParagraphFont"/>
    <w:uiPriority w:val="99"/>
    <w:semiHidden/>
    <w:unhideWhenUsed/>
    <w:rsid w:val="00A31595"/>
    <w:rPr>
      <w:color w:val="800080" w:themeColor="followedHyperlink"/>
      <w:u w:val="single"/>
    </w:rPr>
  </w:style>
  <w:style w:type="paragraph" w:styleId="NormalWeb">
    <w:name w:val="Normal (Web)"/>
    <w:basedOn w:val="Normal"/>
    <w:uiPriority w:val="99"/>
    <w:semiHidden/>
    <w:unhideWhenUsed/>
    <w:rsid w:val="0015519E"/>
    <w:pPr>
      <w:widowControl/>
      <w:spacing w:before="100" w:beforeAutospacing="1" w:after="100" w:afterAutospacing="1"/>
    </w:pPr>
    <w:rPr>
      <w:rFonts w:ascii="Times New Roman" w:eastAsiaTheme="minorEastAsia" w:hAnsi="Times New Roman" w:cs="Times New Roman"/>
      <w:sz w:val="24"/>
      <w:szCs w:val="24"/>
    </w:rPr>
  </w:style>
  <w:style w:type="paragraph" w:styleId="FootnoteText">
    <w:name w:val="footnote text"/>
    <w:basedOn w:val="Normal"/>
    <w:link w:val="FootnoteTextChar"/>
    <w:uiPriority w:val="99"/>
    <w:unhideWhenUsed/>
    <w:rsid w:val="0045341E"/>
    <w:rPr>
      <w:sz w:val="24"/>
      <w:szCs w:val="24"/>
    </w:rPr>
  </w:style>
  <w:style w:type="character" w:customStyle="1" w:styleId="FootnoteTextChar">
    <w:name w:val="Footnote Text Char"/>
    <w:basedOn w:val="DefaultParagraphFont"/>
    <w:link w:val="FootnoteText"/>
    <w:uiPriority w:val="99"/>
    <w:rsid w:val="0045341E"/>
    <w:rPr>
      <w:rFonts w:ascii="Calibri" w:eastAsia="Calibri" w:hAnsi="Calibri" w:cs="Calibri"/>
      <w:sz w:val="24"/>
      <w:szCs w:val="24"/>
    </w:rPr>
  </w:style>
  <w:style w:type="character" w:styleId="FootnoteReference">
    <w:name w:val="footnote reference"/>
    <w:basedOn w:val="DefaultParagraphFont"/>
    <w:uiPriority w:val="99"/>
    <w:unhideWhenUsed/>
    <w:rsid w:val="0045341E"/>
    <w:rPr>
      <w:vertAlign w:val="superscript"/>
    </w:rPr>
  </w:style>
  <w:style w:type="table" w:styleId="TableGrid">
    <w:name w:val="Table Grid"/>
    <w:basedOn w:val="TableNormal"/>
    <w:uiPriority w:val="59"/>
    <w:rsid w:val="00064C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1695</Words>
  <Characters>9666</Characters>
  <Application>Microsoft Macintosh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NUI Galway</Company>
  <LinksUpToDate>false</LinksUpToDate>
  <CharactersWithSpaces>11339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CELT User</dc:creator>
  <cp:lastModifiedBy>MacLaren, Iain</cp:lastModifiedBy>
  <cp:revision>2</cp:revision>
  <cp:lastPrinted>2016-07-26T10:50:00Z</cp:lastPrinted>
  <dcterms:created xsi:type="dcterms:W3CDTF">2018-08-13T12:56:00Z</dcterms:created>
  <dcterms:modified xsi:type="dcterms:W3CDTF">2018-08-13T12:56:00Z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2015-11-10T00:00:00Z</vt:filetime>
  </property>
  <property fmtid="{D5CDD505-2E9C-101B-9397-08002B2CF9AE}" pid="3" name="Creator">
    <vt:lpwstr>Acrobat PDFMaker 10.0 for Word</vt:lpwstr>
  </property>
  <property fmtid="{D5CDD505-2E9C-101B-9397-08002B2CF9AE}" pid="4" name="LastSaved">
    <vt:filetime>2016-07-18T00:00:00Z</vt:filetime>
  </property>
</Properties>
</file>