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781A" w14:textId="77777777" w:rsidR="001C473B" w:rsidRPr="009F5A7B" w:rsidRDefault="001C473B" w:rsidP="006570F8">
      <w:pPr>
        <w:rPr>
          <w:rFonts w:cstheme="minorHAnsi"/>
          <w:sz w:val="22"/>
          <w:szCs w:val="22"/>
        </w:rPr>
      </w:pPr>
    </w:p>
    <w:tbl>
      <w:tblPr>
        <w:tblStyle w:val="TableGrid"/>
        <w:tblW w:w="9067" w:type="dxa"/>
        <w:tblLook w:val="04A0" w:firstRow="1" w:lastRow="0" w:firstColumn="1" w:lastColumn="0" w:noHBand="0" w:noVBand="1"/>
      </w:tblPr>
      <w:tblGrid>
        <w:gridCol w:w="1861"/>
        <w:gridCol w:w="7206"/>
      </w:tblGrid>
      <w:tr w:rsidR="006570F8" w:rsidRPr="009F5A7B" w14:paraId="7BA27F5C" w14:textId="77777777" w:rsidTr="41DE7C60">
        <w:trPr>
          <w:trHeight w:val="407"/>
        </w:trPr>
        <w:tc>
          <w:tcPr>
            <w:tcW w:w="1861" w:type="dxa"/>
            <w:shd w:val="clear" w:color="auto" w:fill="A80050"/>
          </w:tcPr>
          <w:p w14:paraId="06947948" w14:textId="77777777" w:rsidR="006570F8" w:rsidRPr="00531A46" w:rsidRDefault="006570F8">
            <w:pPr>
              <w:rPr>
                <w:rFonts w:cstheme="minorHAnsi"/>
                <w:b/>
                <w:color w:val="FFFFFF" w:themeColor="background1"/>
                <w:sz w:val="24"/>
                <w:szCs w:val="24"/>
              </w:rPr>
            </w:pPr>
            <w:r w:rsidRPr="00531A46">
              <w:rPr>
                <w:rFonts w:cstheme="minorHAnsi"/>
                <w:b/>
                <w:color w:val="FFFFFF" w:themeColor="background1"/>
                <w:sz w:val="24"/>
                <w:szCs w:val="24"/>
              </w:rPr>
              <w:t>Code</w:t>
            </w:r>
          </w:p>
        </w:tc>
        <w:tc>
          <w:tcPr>
            <w:tcW w:w="7206" w:type="dxa"/>
          </w:tcPr>
          <w:p w14:paraId="08FD61ED" w14:textId="3B3076A4" w:rsidR="006570F8" w:rsidRPr="00531A46" w:rsidRDefault="00053D52">
            <w:pPr>
              <w:rPr>
                <w:rFonts w:cstheme="minorHAnsi"/>
                <w:sz w:val="24"/>
                <w:szCs w:val="24"/>
              </w:rPr>
            </w:pPr>
            <w:r>
              <w:rPr>
                <w:rFonts w:cstheme="minorHAnsi"/>
                <w:sz w:val="24"/>
                <w:szCs w:val="24"/>
              </w:rPr>
              <w:t xml:space="preserve">QA093 </w:t>
            </w:r>
            <w:r w:rsidR="006570F8" w:rsidRPr="00531A46">
              <w:rPr>
                <w:rFonts w:cstheme="minorHAnsi"/>
                <w:sz w:val="24"/>
                <w:szCs w:val="24"/>
              </w:rPr>
              <w:t xml:space="preserve"> </w:t>
            </w:r>
          </w:p>
        </w:tc>
      </w:tr>
      <w:tr w:rsidR="006570F8" w:rsidRPr="009F5A7B" w14:paraId="7F883768" w14:textId="77777777" w:rsidTr="41DE7C60">
        <w:trPr>
          <w:trHeight w:val="385"/>
        </w:trPr>
        <w:tc>
          <w:tcPr>
            <w:tcW w:w="1861" w:type="dxa"/>
            <w:shd w:val="clear" w:color="auto" w:fill="A80050"/>
          </w:tcPr>
          <w:p w14:paraId="23FCEA74" w14:textId="77777777" w:rsidR="006570F8" w:rsidRPr="00531A46" w:rsidRDefault="006570F8">
            <w:pPr>
              <w:rPr>
                <w:rFonts w:cstheme="minorHAnsi"/>
                <w:b/>
                <w:color w:val="FFFFFF" w:themeColor="background1"/>
                <w:sz w:val="24"/>
                <w:szCs w:val="24"/>
              </w:rPr>
            </w:pPr>
            <w:r w:rsidRPr="00531A46">
              <w:rPr>
                <w:rFonts w:cstheme="minorHAnsi"/>
                <w:b/>
                <w:color w:val="FFFFFF" w:themeColor="background1"/>
                <w:sz w:val="24"/>
                <w:szCs w:val="24"/>
              </w:rPr>
              <w:t>Title</w:t>
            </w:r>
          </w:p>
        </w:tc>
        <w:tc>
          <w:tcPr>
            <w:tcW w:w="7206" w:type="dxa"/>
          </w:tcPr>
          <w:p w14:paraId="38BB2BB3" w14:textId="76FD256A" w:rsidR="006570F8" w:rsidRPr="00531A46" w:rsidRDefault="00906D5C">
            <w:pPr>
              <w:rPr>
                <w:rFonts w:cstheme="minorHAnsi"/>
                <w:sz w:val="24"/>
                <w:szCs w:val="24"/>
              </w:rPr>
            </w:pPr>
            <w:r w:rsidRPr="00531A46">
              <w:rPr>
                <w:sz w:val="24"/>
                <w:szCs w:val="24"/>
              </w:rPr>
              <w:t>Micro-credentials Policy</w:t>
            </w:r>
          </w:p>
        </w:tc>
      </w:tr>
      <w:tr w:rsidR="006570F8" w:rsidRPr="009F5A7B" w14:paraId="3AB77F74" w14:textId="77777777" w:rsidTr="41DE7C60">
        <w:trPr>
          <w:trHeight w:val="407"/>
        </w:trPr>
        <w:tc>
          <w:tcPr>
            <w:tcW w:w="1861" w:type="dxa"/>
            <w:shd w:val="clear" w:color="auto" w:fill="A80050"/>
          </w:tcPr>
          <w:p w14:paraId="27C298A1" w14:textId="77777777" w:rsidR="006570F8" w:rsidRPr="00531A46" w:rsidRDefault="006570F8">
            <w:pPr>
              <w:rPr>
                <w:rFonts w:cstheme="minorHAnsi"/>
                <w:b/>
                <w:color w:val="FFFFFF" w:themeColor="background1"/>
                <w:sz w:val="24"/>
                <w:szCs w:val="24"/>
              </w:rPr>
            </w:pPr>
            <w:r w:rsidRPr="00531A46">
              <w:rPr>
                <w:rFonts w:cstheme="minorHAnsi"/>
                <w:b/>
                <w:color w:val="FFFFFF" w:themeColor="background1"/>
                <w:sz w:val="24"/>
                <w:szCs w:val="24"/>
              </w:rPr>
              <w:t>Policy Owner</w:t>
            </w:r>
          </w:p>
        </w:tc>
        <w:tc>
          <w:tcPr>
            <w:tcW w:w="7206" w:type="dxa"/>
          </w:tcPr>
          <w:p w14:paraId="6F66181A" w14:textId="31B14DDF" w:rsidR="006570F8" w:rsidRPr="00531A46" w:rsidRDefault="00906D5C">
            <w:pPr>
              <w:rPr>
                <w:rFonts w:cstheme="minorHAnsi"/>
                <w:sz w:val="24"/>
                <w:szCs w:val="24"/>
              </w:rPr>
            </w:pPr>
            <w:r w:rsidRPr="00531A46">
              <w:rPr>
                <w:sz w:val="24"/>
                <w:szCs w:val="24"/>
              </w:rPr>
              <w:t>Deputy President and Registrar</w:t>
            </w:r>
          </w:p>
        </w:tc>
      </w:tr>
      <w:tr w:rsidR="00906D5C" w:rsidRPr="009F5A7B" w14:paraId="759CBE20" w14:textId="77777777" w:rsidTr="41DE7C60">
        <w:trPr>
          <w:trHeight w:val="407"/>
        </w:trPr>
        <w:tc>
          <w:tcPr>
            <w:tcW w:w="1861" w:type="dxa"/>
            <w:shd w:val="clear" w:color="auto" w:fill="A80050"/>
          </w:tcPr>
          <w:p w14:paraId="2CA14F19" w14:textId="77777777" w:rsidR="00906D5C" w:rsidRPr="00531A46" w:rsidRDefault="00906D5C" w:rsidP="00906D5C">
            <w:pPr>
              <w:rPr>
                <w:rFonts w:cstheme="minorHAnsi"/>
                <w:b/>
                <w:color w:val="FFFFFF" w:themeColor="background1"/>
                <w:sz w:val="24"/>
                <w:szCs w:val="24"/>
              </w:rPr>
            </w:pPr>
            <w:r w:rsidRPr="00531A46">
              <w:rPr>
                <w:rFonts w:cstheme="minorHAnsi"/>
                <w:b/>
                <w:color w:val="FFFFFF" w:themeColor="background1"/>
                <w:sz w:val="24"/>
                <w:szCs w:val="24"/>
              </w:rPr>
              <w:t>Date</w:t>
            </w:r>
          </w:p>
        </w:tc>
        <w:tc>
          <w:tcPr>
            <w:tcW w:w="7206" w:type="dxa"/>
          </w:tcPr>
          <w:p w14:paraId="43643046" w14:textId="2ADA5DC8" w:rsidR="00906D5C" w:rsidRPr="00C47413" w:rsidRDefault="192859B7" w:rsidP="41DE7C60">
            <w:pPr>
              <w:rPr>
                <w:sz w:val="24"/>
                <w:szCs w:val="24"/>
              </w:rPr>
            </w:pPr>
            <w:r w:rsidRPr="41DE7C60">
              <w:rPr>
                <w:sz w:val="24"/>
                <w:szCs w:val="24"/>
              </w:rPr>
              <w:t>28</w:t>
            </w:r>
            <w:r w:rsidR="00906D5C" w:rsidRPr="41DE7C60">
              <w:rPr>
                <w:sz w:val="24"/>
                <w:szCs w:val="24"/>
              </w:rPr>
              <w:t xml:space="preserve"> </w:t>
            </w:r>
            <w:r w:rsidR="65ECF92D" w:rsidRPr="41DE7C60">
              <w:rPr>
                <w:sz w:val="24"/>
                <w:szCs w:val="24"/>
              </w:rPr>
              <w:t>January</w:t>
            </w:r>
            <w:r w:rsidR="00906D5C" w:rsidRPr="41DE7C60">
              <w:rPr>
                <w:sz w:val="24"/>
                <w:szCs w:val="24"/>
              </w:rPr>
              <w:t xml:space="preserve"> 202</w:t>
            </w:r>
            <w:r w:rsidR="65ECF92D" w:rsidRPr="41DE7C60">
              <w:rPr>
                <w:sz w:val="24"/>
                <w:szCs w:val="24"/>
              </w:rPr>
              <w:t>6</w:t>
            </w:r>
            <w:r w:rsidR="00906D5C" w:rsidRPr="41DE7C60">
              <w:rPr>
                <w:sz w:val="24"/>
                <w:szCs w:val="24"/>
              </w:rPr>
              <w:t xml:space="preserve"> </w:t>
            </w:r>
          </w:p>
        </w:tc>
      </w:tr>
      <w:tr w:rsidR="00906D5C" w:rsidRPr="009F5A7B" w14:paraId="056BCF37" w14:textId="77777777" w:rsidTr="41DE7C60">
        <w:trPr>
          <w:trHeight w:val="385"/>
        </w:trPr>
        <w:tc>
          <w:tcPr>
            <w:tcW w:w="1861" w:type="dxa"/>
            <w:shd w:val="clear" w:color="auto" w:fill="A80050"/>
          </w:tcPr>
          <w:p w14:paraId="1936C385" w14:textId="77777777" w:rsidR="00906D5C" w:rsidRPr="00531A46" w:rsidRDefault="00906D5C" w:rsidP="00906D5C">
            <w:pPr>
              <w:rPr>
                <w:rFonts w:cstheme="minorHAnsi"/>
                <w:b/>
                <w:color w:val="FFFFFF" w:themeColor="background1"/>
                <w:sz w:val="24"/>
                <w:szCs w:val="24"/>
              </w:rPr>
            </w:pPr>
            <w:r w:rsidRPr="00531A46">
              <w:rPr>
                <w:rFonts w:cstheme="minorHAnsi"/>
                <w:b/>
                <w:color w:val="FFFFFF" w:themeColor="background1"/>
                <w:sz w:val="24"/>
                <w:szCs w:val="24"/>
              </w:rPr>
              <w:t>Approved By</w:t>
            </w:r>
          </w:p>
        </w:tc>
        <w:tc>
          <w:tcPr>
            <w:tcW w:w="7206" w:type="dxa"/>
          </w:tcPr>
          <w:p w14:paraId="64F77C63" w14:textId="659011DD" w:rsidR="00906D5C" w:rsidRPr="00531A46" w:rsidRDefault="00906D5C" w:rsidP="00906D5C">
            <w:pPr>
              <w:rPr>
                <w:rFonts w:cstheme="minorHAnsi"/>
                <w:sz w:val="24"/>
                <w:szCs w:val="24"/>
              </w:rPr>
            </w:pPr>
            <w:r w:rsidRPr="00531A46">
              <w:rPr>
                <w:sz w:val="24"/>
                <w:szCs w:val="24"/>
              </w:rPr>
              <w:t>Academic Council Standing</w:t>
            </w:r>
          </w:p>
        </w:tc>
      </w:tr>
    </w:tbl>
    <w:p w14:paraId="09C679D5" w14:textId="77777777" w:rsidR="00906D5C" w:rsidRPr="00AB7B2A" w:rsidRDefault="00906D5C" w:rsidP="00906D5C">
      <w:pPr>
        <w:jc w:val="both"/>
        <w:rPr>
          <w:rFonts w:ascii="Calibri" w:hAnsi="Calibri" w:cs="Calibri"/>
        </w:rPr>
      </w:pPr>
      <w:bookmarkStart w:id="0" w:name="Purpose"/>
      <w:bookmarkStart w:id="1" w:name="_bookmark0"/>
      <w:bookmarkEnd w:id="0"/>
      <w:bookmarkEnd w:id="1"/>
    </w:p>
    <w:p w14:paraId="1E3C8D6A" w14:textId="77777777" w:rsidR="00906D5C" w:rsidRPr="00AB7B2A" w:rsidRDefault="00906D5C" w:rsidP="00906D5C">
      <w:pPr>
        <w:jc w:val="both"/>
        <w:rPr>
          <w:rFonts w:ascii="Calibri" w:hAnsi="Calibri" w:cs="Calibri"/>
          <w:b/>
          <w:bCs/>
        </w:rPr>
      </w:pPr>
      <w:r w:rsidRPr="00AB7B2A">
        <w:rPr>
          <w:rFonts w:ascii="Calibri" w:hAnsi="Calibri" w:cs="Calibri"/>
          <w:b/>
          <w:bCs/>
        </w:rPr>
        <w:t>1.0</w:t>
      </w:r>
      <w:r w:rsidRPr="00AB7B2A">
        <w:rPr>
          <w:rFonts w:ascii="Calibri" w:hAnsi="Calibri" w:cs="Calibri"/>
          <w:b/>
          <w:bCs/>
        </w:rPr>
        <w:tab/>
        <w:t>Purpose</w:t>
      </w:r>
    </w:p>
    <w:p w14:paraId="1409D55B" w14:textId="77777777" w:rsidR="00906D5C" w:rsidRPr="00AB7B2A" w:rsidRDefault="00906D5C" w:rsidP="00906D5C">
      <w:pPr>
        <w:jc w:val="both"/>
        <w:rPr>
          <w:rFonts w:ascii="Calibri" w:hAnsi="Calibri" w:cs="Calibri"/>
        </w:rPr>
      </w:pPr>
    </w:p>
    <w:p w14:paraId="584AC03A" w14:textId="1EC29F7E" w:rsidR="00906D5C" w:rsidRPr="00531A46" w:rsidRDefault="00906D5C" w:rsidP="00906D5C">
      <w:pPr>
        <w:jc w:val="both"/>
        <w:rPr>
          <w:rFonts w:ascii="Calibri" w:hAnsi="Calibri" w:cs="Calibri"/>
          <w:sz w:val="22"/>
          <w:szCs w:val="22"/>
        </w:rPr>
      </w:pPr>
      <w:r w:rsidRPr="00531A46">
        <w:rPr>
          <w:rFonts w:ascii="Calibri" w:hAnsi="Calibri" w:cs="Calibri"/>
          <w:sz w:val="22"/>
          <w:szCs w:val="22"/>
        </w:rPr>
        <w:t xml:space="preserve">The purpose of this policy is to establish a comprehensive framework for the development, validation, delivery, assessment, certification, and quality assurance of </w:t>
      </w:r>
      <w:r w:rsidR="00B673C7">
        <w:rPr>
          <w:rFonts w:ascii="Calibri" w:hAnsi="Calibri" w:cs="Calibri"/>
          <w:sz w:val="22"/>
          <w:szCs w:val="22"/>
        </w:rPr>
        <w:t>m</w:t>
      </w:r>
      <w:r w:rsidRPr="00531A46">
        <w:rPr>
          <w:rFonts w:ascii="Calibri" w:hAnsi="Calibri" w:cs="Calibri"/>
          <w:sz w:val="22"/>
          <w:szCs w:val="22"/>
        </w:rPr>
        <w:t xml:space="preserve">icro-credentials at University of Galway. Micro-credentials are subject to the same quality assurance processes as all other programmes and form part of the overall curriculum development process at University of Galway.  This policy aligns with the national </w:t>
      </w:r>
      <w:proofErr w:type="spellStart"/>
      <w:r w:rsidRPr="00531A46">
        <w:rPr>
          <w:rFonts w:ascii="Calibri" w:hAnsi="Calibri" w:cs="Calibri"/>
          <w:sz w:val="22"/>
          <w:szCs w:val="22"/>
        </w:rPr>
        <w:t>MicroCreds</w:t>
      </w:r>
      <w:proofErr w:type="spellEnd"/>
      <w:r w:rsidRPr="00531A46">
        <w:rPr>
          <w:rFonts w:ascii="Calibri" w:hAnsi="Calibri" w:cs="Calibri"/>
          <w:sz w:val="22"/>
          <w:szCs w:val="22"/>
        </w:rPr>
        <w:t xml:space="preserve"> project (IUA 2020–2025), the European Council Recommendation on a European Approach to Micro-credentials for Lifelong Learning and Employability (EC, 2022), and the University’s strategic vision to be a leading provider of higher education that is student-centred, research-informed, industry-relevant, and accessible to all. It supports Goal 4 of the Sustainable Development Goals, ensuring inclusive and equitable quality education and promoting lifelong learning opportunities. The policy aims to meet the evolving needs of learners, industry, and society by offering flexible, high-quality, and portable learning opportunities that enhance employability and personal development. Section 5.</w:t>
      </w:r>
      <w:r w:rsidR="00EC4D94">
        <w:rPr>
          <w:rFonts w:ascii="Calibri" w:hAnsi="Calibri" w:cs="Calibri"/>
          <w:sz w:val="22"/>
          <w:szCs w:val="22"/>
        </w:rPr>
        <w:t>0</w:t>
      </w:r>
      <w:r w:rsidRPr="00531A46">
        <w:rPr>
          <w:rFonts w:ascii="Calibri" w:hAnsi="Calibri" w:cs="Calibri"/>
          <w:sz w:val="22"/>
          <w:szCs w:val="22"/>
        </w:rPr>
        <w:t xml:space="preserve"> provides a list of policy documents which have informed this policy.  </w:t>
      </w:r>
    </w:p>
    <w:p w14:paraId="46BD4571" w14:textId="77777777" w:rsidR="00906D5C" w:rsidRDefault="00906D5C" w:rsidP="00906D5C">
      <w:pPr>
        <w:jc w:val="both"/>
        <w:rPr>
          <w:rFonts w:ascii="Calibri" w:hAnsi="Calibri" w:cs="Calibri"/>
        </w:rPr>
      </w:pPr>
    </w:p>
    <w:p w14:paraId="589BC4B5" w14:textId="77777777" w:rsidR="00906D5C" w:rsidRPr="00AB7B2A" w:rsidRDefault="00906D5C" w:rsidP="00906D5C">
      <w:pPr>
        <w:jc w:val="both"/>
        <w:rPr>
          <w:rFonts w:ascii="Calibri" w:hAnsi="Calibri" w:cs="Calibri"/>
        </w:rPr>
      </w:pPr>
    </w:p>
    <w:p w14:paraId="1F8530CD" w14:textId="630A427F" w:rsidR="00906D5C" w:rsidRPr="00AB7B2A" w:rsidRDefault="00906D5C" w:rsidP="00906D5C">
      <w:pPr>
        <w:pStyle w:val="ListParagraph"/>
        <w:ind w:left="0"/>
        <w:jc w:val="both"/>
        <w:rPr>
          <w:rFonts w:ascii="Calibri" w:hAnsi="Calibri" w:cs="Calibri"/>
          <w:b/>
          <w:bCs/>
        </w:rPr>
      </w:pPr>
      <w:bookmarkStart w:id="2" w:name="Scope"/>
      <w:bookmarkStart w:id="3" w:name="_bookmark1"/>
      <w:bookmarkEnd w:id="2"/>
      <w:bookmarkEnd w:id="3"/>
      <w:r w:rsidRPr="00AB7B2A">
        <w:rPr>
          <w:rFonts w:ascii="Calibri" w:hAnsi="Calibri" w:cs="Calibri"/>
          <w:b/>
          <w:bCs/>
        </w:rPr>
        <w:t>2.0</w:t>
      </w:r>
      <w:r w:rsidRPr="00AB7B2A">
        <w:rPr>
          <w:rFonts w:ascii="Calibri" w:hAnsi="Calibri" w:cs="Calibri"/>
          <w:b/>
          <w:bCs/>
        </w:rPr>
        <w:tab/>
        <w:t>Scope</w:t>
      </w:r>
    </w:p>
    <w:p w14:paraId="53ADDB59" w14:textId="7D1BD12C" w:rsidR="00906D5C" w:rsidRPr="00531A46" w:rsidRDefault="00906D5C" w:rsidP="00906D5C">
      <w:pPr>
        <w:jc w:val="both"/>
        <w:rPr>
          <w:rFonts w:ascii="Calibri" w:hAnsi="Calibri" w:cs="Calibri"/>
          <w:sz w:val="22"/>
          <w:szCs w:val="22"/>
        </w:rPr>
      </w:pPr>
      <w:r w:rsidRPr="00531A46">
        <w:rPr>
          <w:rFonts w:ascii="Calibri" w:hAnsi="Calibri" w:cs="Calibri"/>
          <w:sz w:val="22"/>
          <w:szCs w:val="22"/>
        </w:rPr>
        <w:t xml:space="preserve">This policy applies to all University of Galway staff involved in the design, validation, delivery, management, assessment, and quality assurance of </w:t>
      </w:r>
      <w:r w:rsidR="00B673C7">
        <w:rPr>
          <w:rFonts w:ascii="Calibri" w:hAnsi="Calibri" w:cs="Calibri"/>
          <w:sz w:val="22"/>
          <w:szCs w:val="22"/>
        </w:rPr>
        <w:t>m</w:t>
      </w:r>
      <w:r w:rsidRPr="00531A46">
        <w:rPr>
          <w:rFonts w:ascii="Calibri" w:hAnsi="Calibri" w:cs="Calibri"/>
          <w:sz w:val="22"/>
          <w:szCs w:val="22"/>
        </w:rPr>
        <w:t xml:space="preserve">icro-credentials, including academic staff, administrative personnel, and the </w:t>
      </w:r>
      <w:proofErr w:type="spellStart"/>
      <w:r w:rsidRPr="00531A46">
        <w:rPr>
          <w:rFonts w:ascii="Calibri" w:hAnsi="Calibri" w:cs="Calibri"/>
          <w:sz w:val="22"/>
          <w:szCs w:val="22"/>
        </w:rPr>
        <w:t>MicroCreds</w:t>
      </w:r>
      <w:proofErr w:type="spellEnd"/>
      <w:r w:rsidRPr="00531A46">
        <w:rPr>
          <w:rFonts w:ascii="Calibri" w:hAnsi="Calibri" w:cs="Calibri"/>
          <w:sz w:val="22"/>
          <w:szCs w:val="22"/>
        </w:rPr>
        <w:t xml:space="preserve"> Project team. It covers </w:t>
      </w:r>
      <w:r w:rsidR="00B673C7">
        <w:rPr>
          <w:rFonts w:ascii="Calibri" w:hAnsi="Calibri" w:cs="Calibri"/>
          <w:sz w:val="22"/>
          <w:szCs w:val="22"/>
        </w:rPr>
        <w:t>m</w:t>
      </w:r>
      <w:r w:rsidRPr="00531A46">
        <w:rPr>
          <w:rFonts w:ascii="Calibri" w:hAnsi="Calibri" w:cs="Calibri"/>
          <w:sz w:val="22"/>
          <w:szCs w:val="22"/>
        </w:rPr>
        <w:t xml:space="preserve">icro-credentials with a credit value of </w:t>
      </w:r>
      <w:r w:rsidR="00BB18FA">
        <w:rPr>
          <w:rFonts w:ascii="Calibri" w:hAnsi="Calibri" w:cs="Calibri"/>
          <w:sz w:val="22"/>
          <w:szCs w:val="22"/>
        </w:rPr>
        <w:t>5</w:t>
      </w:r>
      <w:r w:rsidRPr="00531A46">
        <w:rPr>
          <w:rFonts w:ascii="Calibri" w:hAnsi="Calibri" w:cs="Calibri"/>
          <w:sz w:val="22"/>
          <w:szCs w:val="22"/>
        </w:rPr>
        <w:t xml:space="preserve"> to 30 ECT</w:t>
      </w:r>
      <w:r w:rsidR="00BB18FA">
        <w:rPr>
          <w:rFonts w:ascii="Calibri" w:hAnsi="Calibri" w:cs="Calibri"/>
          <w:sz w:val="22"/>
          <w:szCs w:val="22"/>
        </w:rPr>
        <w:t>S</w:t>
      </w:r>
      <w:r w:rsidRPr="00531A46">
        <w:rPr>
          <w:rFonts w:ascii="Calibri" w:hAnsi="Calibri" w:cs="Calibri"/>
          <w:sz w:val="22"/>
          <w:szCs w:val="22"/>
        </w:rPr>
        <w:t xml:space="preserve"> (see section 3.</w:t>
      </w:r>
      <w:r w:rsidR="00B673C7">
        <w:rPr>
          <w:rFonts w:ascii="Calibri" w:hAnsi="Calibri" w:cs="Calibri"/>
          <w:sz w:val="22"/>
          <w:szCs w:val="22"/>
        </w:rPr>
        <w:t>0</w:t>
      </w:r>
      <w:r w:rsidRPr="00531A46">
        <w:rPr>
          <w:rFonts w:ascii="Calibri" w:hAnsi="Calibri" w:cs="Calibri"/>
          <w:sz w:val="22"/>
          <w:szCs w:val="22"/>
        </w:rPr>
        <w:t xml:space="preserve"> for University of Galway standard), offered as standalone courses or as potentially stackable components toward minor or major awards at NFQ levels 7–9. Non-credit-bearing learning activities, such as informal workshops or non-assessed CPD, are excluded from this policy. The policy also governs collaborations with external partners, including other IUA universities, ENLIGHT partner universities and industry stakeholders, in the development and delivery of </w:t>
      </w:r>
      <w:r w:rsidR="00B673C7">
        <w:rPr>
          <w:rFonts w:ascii="Calibri" w:hAnsi="Calibri" w:cs="Calibri"/>
          <w:sz w:val="22"/>
          <w:szCs w:val="22"/>
        </w:rPr>
        <w:t>m</w:t>
      </w:r>
      <w:r w:rsidRPr="00531A46">
        <w:rPr>
          <w:rFonts w:ascii="Calibri" w:hAnsi="Calibri" w:cs="Calibri"/>
          <w:sz w:val="22"/>
          <w:szCs w:val="22"/>
        </w:rPr>
        <w:t>icro-credentials.</w:t>
      </w:r>
    </w:p>
    <w:p w14:paraId="4FC4CBFC" w14:textId="77777777" w:rsidR="00906D5C" w:rsidRPr="00AB7B2A" w:rsidRDefault="00906D5C" w:rsidP="00906D5C">
      <w:pPr>
        <w:jc w:val="both"/>
        <w:rPr>
          <w:rFonts w:ascii="Calibri" w:hAnsi="Calibri" w:cs="Calibri"/>
          <w:b/>
          <w:bCs/>
        </w:rPr>
      </w:pPr>
      <w:bookmarkStart w:id="4" w:name="External_Reference_Documents"/>
      <w:bookmarkStart w:id="5" w:name="_bookmark2"/>
      <w:bookmarkEnd w:id="4"/>
      <w:bookmarkEnd w:id="5"/>
    </w:p>
    <w:p w14:paraId="4BD2568B" w14:textId="77777777" w:rsidR="00906D5C" w:rsidRPr="00AB7B2A" w:rsidRDefault="00906D5C" w:rsidP="00906D5C">
      <w:pPr>
        <w:jc w:val="both"/>
        <w:rPr>
          <w:rFonts w:ascii="Calibri" w:hAnsi="Calibri" w:cs="Calibri"/>
          <w:b/>
          <w:bCs/>
        </w:rPr>
      </w:pPr>
      <w:bookmarkStart w:id="6" w:name="Policy"/>
      <w:bookmarkStart w:id="7" w:name="_bookmark3"/>
      <w:bookmarkEnd w:id="6"/>
      <w:bookmarkEnd w:id="7"/>
    </w:p>
    <w:p w14:paraId="5F4EDDB9" w14:textId="77777777" w:rsidR="00906D5C" w:rsidRPr="00AB7B2A" w:rsidRDefault="00906D5C" w:rsidP="00906D5C">
      <w:pPr>
        <w:jc w:val="both"/>
        <w:rPr>
          <w:rFonts w:ascii="Calibri" w:hAnsi="Calibri" w:cs="Calibri"/>
          <w:b/>
          <w:bCs/>
        </w:rPr>
      </w:pPr>
      <w:bookmarkStart w:id="8" w:name="Definitions"/>
      <w:bookmarkStart w:id="9" w:name="_bookmark4"/>
      <w:bookmarkEnd w:id="8"/>
      <w:bookmarkEnd w:id="9"/>
      <w:r w:rsidRPr="00AB7B2A">
        <w:rPr>
          <w:rFonts w:ascii="Calibri" w:hAnsi="Calibri" w:cs="Calibri"/>
          <w:b/>
          <w:bCs/>
        </w:rPr>
        <w:t>2.1</w:t>
      </w:r>
      <w:r w:rsidRPr="00AB7B2A">
        <w:rPr>
          <w:rFonts w:ascii="Calibri" w:hAnsi="Calibri" w:cs="Calibri"/>
          <w:b/>
          <w:bCs/>
        </w:rPr>
        <w:tab/>
        <w:t>Definitions</w:t>
      </w:r>
    </w:p>
    <w:p w14:paraId="6F9CEA21" w14:textId="77777777" w:rsidR="00906D5C" w:rsidRPr="00531A46" w:rsidRDefault="00906D5C" w:rsidP="00906D5C">
      <w:pPr>
        <w:jc w:val="both"/>
        <w:rPr>
          <w:rFonts w:ascii="Calibri" w:hAnsi="Calibri" w:cs="Calibri"/>
          <w:sz w:val="22"/>
          <w:szCs w:val="22"/>
        </w:rPr>
      </w:pPr>
      <w:r w:rsidRPr="00531A46">
        <w:rPr>
          <w:rFonts w:ascii="Calibri" w:hAnsi="Calibri" w:cs="Calibri"/>
          <w:b/>
          <w:bCs/>
          <w:sz w:val="22"/>
          <w:szCs w:val="22"/>
        </w:rPr>
        <w:t>Micro-credential:</w:t>
      </w:r>
      <w:r w:rsidRPr="00531A46">
        <w:rPr>
          <w:rFonts w:ascii="Calibri" w:hAnsi="Calibri" w:cs="Calibri"/>
          <w:sz w:val="22"/>
          <w:szCs w:val="22"/>
        </w:rPr>
        <w:t xml:space="preserve"> A record of the learning outcomes acquired by a learner following a small volume of learning, assessed against transparent and clearly defined standards. Micro-credentials are portable, owned by the learner, and may be stackable toward larger qualifications (EC, 2022).</w:t>
      </w:r>
    </w:p>
    <w:p w14:paraId="71CEF1B7" w14:textId="77777777" w:rsidR="00906D5C" w:rsidRPr="00531A46" w:rsidRDefault="00906D5C" w:rsidP="00906D5C">
      <w:pPr>
        <w:jc w:val="both"/>
        <w:rPr>
          <w:rFonts w:ascii="Calibri" w:hAnsi="Calibri" w:cs="Calibri"/>
          <w:sz w:val="22"/>
          <w:szCs w:val="22"/>
        </w:rPr>
      </w:pPr>
    </w:p>
    <w:p w14:paraId="2B1BF1BE" w14:textId="09B8D8B6" w:rsidR="00906D5C" w:rsidRPr="00531A46" w:rsidRDefault="00BB18FA" w:rsidP="00906D5C">
      <w:pPr>
        <w:jc w:val="both"/>
        <w:rPr>
          <w:rFonts w:ascii="Calibri" w:hAnsi="Calibri" w:cs="Calibri"/>
          <w:sz w:val="22"/>
          <w:szCs w:val="22"/>
        </w:rPr>
      </w:pPr>
      <w:r>
        <w:rPr>
          <w:rFonts w:ascii="Calibri" w:hAnsi="Calibri" w:cs="Calibri"/>
          <w:b/>
          <w:bCs/>
          <w:sz w:val="22"/>
          <w:szCs w:val="22"/>
        </w:rPr>
        <w:t>Module</w:t>
      </w:r>
      <w:r w:rsidR="00906D5C" w:rsidRPr="00531A46">
        <w:rPr>
          <w:rFonts w:ascii="Calibri" w:hAnsi="Calibri" w:cs="Calibri"/>
          <w:b/>
          <w:bCs/>
          <w:sz w:val="22"/>
          <w:szCs w:val="22"/>
        </w:rPr>
        <w:t>:</w:t>
      </w:r>
      <w:r w:rsidR="00906D5C" w:rsidRPr="00531A46">
        <w:rPr>
          <w:rFonts w:ascii="Calibri" w:hAnsi="Calibri" w:cs="Calibri"/>
          <w:sz w:val="22"/>
          <w:szCs w:val="22"/>
        </w:rPr>
        <w:t xml:space="preserve"> A discrete unit of study</w:t>
      </w:r>
      <w:r w:rsidR="0056687F">
        <w:rPr>
          <w:rFonts w:ascii="Calibri" w:hAnsi="Calibri" w:cs="Calibri"/>
          <w:sz w:val="22"/>
          <w:szCs w:val="22"/>
        </w:rPr>
        <w:t>,</w:t>
      </w:r>
      <w:r w:rsidR="00906D5C" w:rsidRPr="00531A46">
        <w:rPr>
          <w:rFonts w:ascii="Calibri" w:hAnsi="Calibri" w:cs="Calibri"/>
          <w:sz w:val="22"/>
          <w:szCs w:val="22"/>
        </w:rPr>
        <w:t xml:space="preserve"> carrying a credit weighting in accordance with the European Credit Transfer and Accumulation System (ECTS). At University of Galway, </w:t>
      </w:r>
      <w:r w:rsidR="00B673C7">
        <w:rPr>
          <w:rFonts w:ascii="Calibri" w:hAnsi="Calibri" w:cs="Calibri"/>
          <w:sz w:val="22"/>
          <w:szCs w:val="22"/>
        </w:rPr>
        <w:t>m</w:t>
      </w:r>
      <w:r w:rsidR="00906D5C" w:rsidRPr="00531A46">
        <w:rPr>
          <w:rFonts w:ascii="Calibri" w:hAnsi="Calibri" w:cs="Calibri"/>
          <w:sz w:val="22"/>
          <w:szCs w:val="22"/>
        </w:rPr>
        <w:t>icro-credentials are single courses of 5 to 30 ECTS at NFQ levels 7, 8 or 9.</w:t>
      </w:r>
    </w:p>
    <w:p w14:paraId="6A15CE07" w14:textId="77777777" w:rsidR="00906D5C" w:rsidRPr="00531A46" w:rsidRDefault="00906D5C" w:rsidP="00906D5C">
      <w:pPr>
        <w:jc w:val="both"/>
        <w:rPr>
          <w:rFonts w:ascii="Calibri" w:hAnsi="Calibri" w:cs="Calibri"/>
          <w:sz w:val="22"/>
          <w:szCs w:val="22"/>
        </w:rPr>
      </w:pPr>
    </w:p>
    <w:p w14:paraId="18B4086B" w14:textId="2B74AC28" w:rsidR="00906D5C" w:rsidRDefault="00906D5C" w:rsidP="00906D5C">
      <w:pPr>
        <w:jc w:val="both"/>
        <w:rPr>
          <w:rFonts w:ascii="Calibri" w:hAnsi="Calibri" w:cs="Calibri"/>
          <w:sz w:val="22"/>
          <w:szCs w:val="22"/>
        </w:rPr>
      </w:pPr>
      <w:proofErr w:type="spellStart"/>
      <w:r w:rsidRPr="00531A46">
        <w:rPr>
          <w:rFonts w:ascii="Calibri" w:hAnsi="Calibri" w:cs="Calibri"/>
          <w:b/>
          <w:bCs/>
          <w:sz w:val="22"/>
          <w:szCs w:val="22"/>
        </w:rPr>
        <w:t>Stackability</w:t>
      </w:r>
      <w:proofErr w:type="spellEnd"/>
      <w:r w:rsidRPr="00531A46">
        <w:rPr>
          <w:rFonts w:ascii="Calibri" w:hAnsi="Calibri" w:cs="Calibri"/>
          <w:b/>
          <w:bCs/>
          <w:sz w:val="22"/>
          <w:szCs w:val="22"/>
        </w:rPr>
        <w:t>:</w:t>
      </w:r>
      <w:r w:rsidRPr="00531A46">
        <w:rPr>
          <w:rFonts w:ascii="Calibri" w:hAnsi="Calibri" w:cs="Calibri"/>
          <w:sz w:val="22"/>
          <w:szCs w:val="22"/>
        </w:rPr>
        <w:t xml:space="preserve"> The ability for </w:t>
      </w:r>
      <w:r w:rsidR="00B673C7">
        <w:rPr>
          <w:rFonts w:ascii="Calibri" w:hAnsi="Calibri" w:cs="Calibri"/>
          <w:sz w:val="22"/>
          <w:szCs w:val="22"/>
        </w:rPr>
        <w:t>m</w:t>
      </w:r>
      <w:r w:rsidRPr="00531A46">
        <w:rPr>
          <w:rFonts w:ascii="Calibri" w:hAnsi="Calibri" w:cs="Calibri"/>
          <w:sz w:val="22"/>
          <w:szCs w:val="22"/>
        </w:rPr>
        <w:t xml:space="preserve">icro-credentials to be combined to contribute toward a larger qualification or formal degree, provided they are </w:t>
      </w:r>
      <w:r w:rsidR="003A6120">
        <w:rPr>
          <w:rFonts w:ascii="Calibri" w:hAnsi="Calibri" w:cs="Calibri"/>
          <w:sz w:val="22"/>
          <w:szCs w:val="22"/>
        </w:rPr>
        <w:t>approved</w:t>
      </w:r>
      <w:r w:rsidRPr="00531A46">
        <w:rPr>
          <w:rFonts w:ascii="Calibri" w:hAnsi="Calibri" w:cs="Calibri"/>
          <w:sz w:val="22"/>
          <w:szCs w:val="22"/>
        </w:rPr>
        <w:t xml:space="preserve"> as part of the programme leading to the award.</w:t>
      </w:r>
    </w:p>
    <w:p w14:paraId="08ACD49D" w14:textId="77777777" w:rsidR="00BB18FA" w:rsidRPr="00531A46" w:rsidRDefault="00BB18FA" w:rsidP="00906D5C">
      <w:pPr>
        <w:jc w:val="both"/>
        <w:rPr>
          <w:rFonts w:ascii="Calibri" w:hAnsi="Calibri" w:cs="Calibri"/>
          <w:sz w:val="22"/>
          <w:szCs w:val="22"/>
        </w:rPr>
      </w:pPr>
    </w:p>
    <w:p w14:paraId="4DB3B2A8" w14:textId="77777777" w:rsidR="00906D5C" w:rsidRPr="00531A46" w:rsidRDefault="00906D5C" w:rsidP="00906D5C">
      <w:pPr>
        <w:jc w:val="both"/>
        <w:rPr>
          <w:rFonts w:ascii="Calibri" w:hAnsi="Calibri" w:cs="Calibri"/>
          <w:sz w:val="22"/>
          <w:szCs w:val="22"/>
        </w:rPr>
      </w:pPr>
      <w:r w:rsidRPr="00531A46">
        <w:rPr>
          <w:rFonts w:ascii="Calibri" w:hAnsi="Calibri" w:cs="Calibri"/>
          <w:b/>
          <w:bCs/>
          <w:sz w:val="22"/>
          <w:szCs w:val="22"/>
        </w:rPr>
        <w:lastRenderedPageBreak/>
        <w:t>Portability:</w:t>
      </w:r>
      <w:r w:rsidRPr="00531A46">
        <w:rPr>
          <w:rFonts w:ascii="Calibri" w:hAnsi="Calibri" w:cs="Calibri"/>
          <w:sz w:val="22"/>
          <w:szCs w:val="22"/>
        </w:rPr>
        <w:t xml:space="preserve"> The ability for a credential-holder to store, share, and verify the authenticity of a micro-credential across national and transnational contexts, including through secure digital platforms such as </w:t>
      </w:r>
      <w:proofErr w:type="spellStart"/>
      <w:r w:rsidRPr="00531A46">
        <w:rPr>
          <w:rFonts w:ascii="Calibri" w:hAnsi="Calibri" w:cs="Calibri"/>
          <w:sz w:val="22"/>
          <w:szCs w:val="22"/>
        </w:rPr>
        <w:t>Europass</w:t>
      </w:r>
      <w:proofErr w:type="spellEnd"/>
      <w:r w:rsidRPr="00531A46">
        <w:rPr>
          <w:rFonts w:ascii="Calibri" w:hAnsi="Calibri" w:cs="Calibri"/>
          <w:sz w:val="22"/>
          <w:szCs w:val="22"/>
        </w:rPr>
        <w:t xml:space="preserve">, in compliance with the General Data Protection Regulation (GDPR). </w:t>
      </w:r>
    </w:p>
    <w:p w14:paraId="01D9C34F" w14:textId="77777777" w:rsidR="00906D5C" w:rsidRPr="00531A46" w:rsidRDefault="00906D5C" w:rsidP="00906D5C">
      <w:pPr>
        <w:jc w:val="both"/>
        <w:rPr>
          <w:rFonts w:ascii="Calibri" w:hAnsi="Calibri" w:cs="Calibri"/>
          <w:sz w:val="22"/>
          <w:szCs w:val="22"/>
        </w:rPr>
      </w:pPr>
    </w:p>
    <w:p w14:paraId="1A264CDF" w14:textId="3708B0E7" w:rsidR="00906D5C" w:rsidRPr="00C47413" w:rsidRDefault="00906D5C" w:rsidP="00906D5C">
      <w:pPr>
        <w:jc w:val="both"/>
        <w:rPr>
          <w:rFonts w:ascii="Calibri" w:hAnsi="Calibri" w:cs="Calibri"/>
          <w:sz w:val="22"/>
          <w:szCs w:val="22"/>
        </w:rPr>
      </w:pPr>
      <w:r w:rsidRPr="00C47413">
        <w:rPr>
          <w:rFonts w:ascii="Calibri" w:hAnsi="Calibri" w:cs="Calibri"/>
          <w:b/>
          <w:bCs/>
          <w:sz w:val="22"/>
          <w:szCs w:val="22"/>
        </w:rPr>
        <w:t>Recognition of Prior Learning (RPL):</w:t>
      </w:r>
      <w:r w:rsidRPr="00C47413">
        <w:rPr>
          <w:rFonts w:ascii="Calibri" w:hAnsi="Calibri" w:cs="Calibri"/>
          <w:sz w:val="22"/>
          <w:szCs w:val="22"/>
        </w:rPr>
        <w:t xml:space="preserve"> A process to recognise and </w:t>
      </w:r>
      <w:r w:rsidR="002A6C7F" w:rsidRPr="00C47413">
        <w:rPr>
          <w:rFonts w:ascii="Calibri" w:hAnsi="Calibri" w:cs="Calibri"/>
          <w:sz w:val="22"/>
          <w:szCs w:val="22"/>
        </w:rPr>
        <w:t xml:space="preserve">formally value </w:t>
      </w:r>
      <w:r w:rsidRPr="00C47413">
        <w:rPr>
          <w:rFonts w:ascii="Calibri" w:hAnsi="Calibri" w:cs="Calibri"/>
          <w:sz w:val="22"/>
          <w:szCs w:val="22"/>
        </w:rPr>
        <w:t>prior learning</w:t>
      </w:r>
      <w:r w:rsidR="00EF3AD9" w:rsidRPr="00C47413">
        <w:rPr>
          <w:rFonts w:ascii="Calibri" w:hAnsi="Calibri" w:cs="Calibri"/>
          <w:sz w:val="22"/>
          <w:szCs w:val="22"/>
        </w:rPr>
        <w:t xml:space="preserve">. </w:t>
      </w:r>
      <w:r w:rsidR="000767BA" w:rsidRPr="00C47413">
        <w:rPr>
          <w:rFonts w:ascii="Calibri" w:hAnsi="Calibri" w:cs="Calibri"/>
          <w:sz w:val="22"/>
          <w:szCs w:val="22"/>
        </w:rPr>
        <w:t>Under the University</w:t>
      </w:r>
      <w:r w:rsidR="008A09DA" w:rsidRPr="00C47413">
        <w:rPr>
          <w:rFonts w:ascii="Calibri" w:hAnsi="Calibri" w:cs="Calibri"/>
          <w:sz w:val="22"/>
          <w:szCs w:val="22"/>
        </w:rPr>
        <w:t>’s</w:t>
      </w:r>
      <w:r w:rsidR="000767BA" w:rsidRPr="00C47413">
        <w:rPr>
          <w:rFonts w:ascii="Calibri" w:hAnsi="Calibri" w:cs="Calibri"/>
          <w:sz w:val="22"/>
          <w:szCs w:val="22"/>
        </w:rPr>
        <w:t xml:space="preserve"> RPL </w:t>
      </w:r>
      <w:r w:rsidR="00C46DDA" w:rsidRPr="00C47413">
        <w:rPr>
          <w:rFonts w:ascii="Calibri" w:hAnsi="Calibri" w:cs="Calibri"/>
          <w:sz w:val="22"/>
          <w:szCs w:val="22"/>
        </w:rPr>
        <w:t>P</w:t>
      </w:r>
      <w:r w:rsidR="000767BA" w:rsidRPr="00C47413">
        <w:rPr>
          <w:rFonts w:ascii="Calibri" w:hAnsi="Calibri" w:cs="Calibri"/>
          <w:sz w:val="22"/>
          <w:szCs w:val="22"/>
        </w:rPr>
        <w:t>olicy</w:t>
      </w:r>
      <w:r w:rsidR="00074927" w:rsidRPr="00C47413">
        <w:rPr>
          <w:rFonts w:ascii="Calibri" w:hAnsi="Calibri" w:cs="Calibri"/>
          <w:sz w:val="22"/>
          <w:szCs w:val="22"/>
        </w:rPr>
        <w:t xml:space="preserve"> (QA222),</w:t>
      </w:r>
      <w:r w:rsidR="000767BA" w:rsidRPr="00C47413">
        <w:rPr>
          <w:rFonts w:ascii="Calibri" w:hAnsi="Calibri" w:cs="Calibri"/>
          <w:sz w:val="22"/>
          <w:szCs w:val="22"/>
        </w:rPr>
        <w:t xml:space="preserve"> micro-credentials </w:t>
      </w:r>
      <w:r w:rsidR="008A09DA" w:rsidRPr="00C47413">
        <w:rPr>
          <w:rFonts w:ascii="Calibri" w:hAnsi="Calibri" w:cs="Calibri"/>
          <w:sz w:val="22"/>
          <w:szCs w:val="22"/>
        </w:rPr>
        <w:t>may be counted</w:t>
      </w:r>
      <w:r w:rsidR="00516A1C" w:rsidRPr="00C47413">
        <w:rPr>
          <w:rFonts w:ascii="Calibri" w:hAnsi="Calibri" w:cs="Calibri"/>
          <w:sz w:val="22"/>
          <w:szCs w:val="22"/>
        </w:rPr>
        <w:t xml:space="preserve"> towards the </w:t>
      </w:r>
      <w:r w:rsidR="008A09DA" w:rsidRPr="00C47413">
        <w:rPr>
          <w:rFonts w:ascii="Calibri" w:hAnsi="Calibri" w:cs="Calibri"/>
          <w:sz w:val="22"/>
          <w:szCs w:val="22"/>
        </w:rPr>
        <w:t xml:space="preserve">completion of further </w:t>
      </w:r>
      <w:r w:rsidR="00FE7AEE" w:rsidRPr="00C47413">
        <w:rPr>
          <w:rFonts w:ascii="Calibri" w:hAnsi="Calibri" w:cs="Calibri"/>
          <w:sz w:val="22"/>
          <w:szCs w:val="22"/>
        </w:rPr>
        <w:t>qualifications</w:t>
      </w:r>
      <w:r w:rsidR="00C46DDA" w:rsidRPr="00C47413">
        <w:rPr>
          <w:rFonts w:ascii="Calibri" w:hAnsi="Calibri" w:cs="Calibri"/>
          <w:sz w:val="22"/>
          <w:szCs w:val="22"/>
        </w:rPr>
        <w:t xml:space="preserve">. </w:t>
      </w:r>
    </w:p>
    <w:p w14:paraId="4A5FD012" w14:textId="77777777" w:rsidR="00906D5C" w:rsidRPr="00BB1BBF" w:rsidRDefault="00906D5C" w:rsidP="00906D5C">
      <w:pPr>
        <w:jc w:val="both"/>
        <w:rPr>
          <w:rFonts w:ascii="Calibri" w:hAnsi="Calibri" w:cs="Calibri"/>
          <w:color w:val="EE0000"/>
          <w:sz w:val="22"/>
          <w:szCs w:val="22"/>
        </w:rPr>
      </w:pPr>
    </w:p>
    <w:p w14:paraId="58BE10D7" w14:textId="1FA840DA" w:rsidR="00906D5C" w:rsidRPr="00531A46" w:rsidRDefault="00906D5C" w:rsidP="00906D5C">
      <w:pPr>
        <w:jc w:val="both"/>
        <w:rPr>
          <w:rFonts w:ascii="Calibri" w:hAnsi="Calibri" w:cs="Calibri"/>
          <w:b/>
          <w:sz w:val="22"/>
          <w:szCs w:val="22"/>
        </w:rPr>
      </w:pPr>
      <w:r w:rsidRPr="00531A46">
        <w:rPr>
          <w:rFonts w:ascii="Calibri" w:hAnsi="Calibri" w:cs="Calibri"/>
          <w:b/>
          <w:sz w:val="22"/>
          <w:szCs w:val="22"/>
        </w:rPr>
        <w:t>Non-Award</w:t>
      </w:r>
      <w:r w:rsidR="00EC4D94">
        <w:rPr>
          <w:rFonts w:ascii="Calibri" w:hAnsi="Calibri" w:cs="Calibri"/>
          <w:b/>
          <w:sz w:val="22"/>
          <w:szCs w:val="22"/>
        </w:rPr>
        <w:t xml:space="preserve"> </w:t>
      </w:r>
      <w:r w:rsidRPr="00531A46">
        <w:rPr>
          <w:rFonts w:ascii="Calibri" w:hAnsi="Calibri" w:cs="Calibri"/>
          <w:b/>
          <w:sz w:val="22"/>
          <w:szCs w:val="22"/>
        </w:rPr>
        <w:t xml:space="preserve">Micro-credentials leading to the awarding of ECTS only: </w:t>
      </w:r>
      <w:r w:rsidRPr="00531A46">
        <w:rPr>
          <w:rFonts w:ascii="Calibri" w:hAnsi="Calibri" w:cs="Calibri"/>
          <w:bCs/>
          <w:sz w:val="22"/>
          <w:szCs w:val="22"/>
        </w:rPr>
        <w:t xml:space="preserve">where </w:t>
      </w:r>
      <w:r w:rsidR="00B673C7">
        <w:rPr>
          <w:rFonts w:ascii="Calibri" w:hAnsi="Calibri" w:cs="Calibri"/>
          <w:bCs/>
          <w:sz w:val="22"/>
          <w:szCs w:val="22"/>
        </w:rPr>
        <w:t>m</w:t>
      </w:r>
      <w:r w:rsidRPr="00531A46">
        <w:rPr>
          <w:rFonts w:ascii="Calibri" w:hAnsi="Calibri" w:cs="Calibri"/>
          <w:bCs/>
          <w:sz w:val="22"/>
          <w:szCs w:val="22"/>
        </w:rPr>
        <w:t xml:space="preserve">icro-credentials are offered as standalone credit. </w:t>
      </w:r>
      <w:r w:rsidRPr="00531A46">
        <w:rPr>
          <w:rFonts w:ascii="Calibri" w:hAnsi="Calibri" w:cs="Calibri"/>
          <w:sz w:val="22"/>
          <w:szCs w:val="22"/>
        </w:rPr>
        <w:t>On successful completion of this micro-credential learners will receive credits as per the European Credit Transfer</w:t>
      </w:r>
      <w:r w:rsidR="00BB18FA">
        <w:rPr>
          <w:rFonts w:ascii="Calibri" w:hAnsi="Calibri" w:cs="Calibri"/>
          <w:sz w:val="22"/>
          <w:szCs w:val="22"/>
        </w:rPr>
        <w:t xml:space="preserve"> Accumulation</w:t>
      </w:r>
      <w:r w:rsidRPr="00531A46">
        <w:rPr>
          <w:rFonts w:ascii="Calibri" w:hAnsi="Calibri" w:cs="Calibri"/>
          <w:sz w:val="22"/>
          <w:szCs w:val="22"/>
        </w:rPr>
        <w:t xml:space="preserve"> System. These credits are recognised by the awarding institution as credits aligned to learning completed at further education/ undergraduate/ postgraduate level. </w:t>
      </w:r>
    </w:p>
    <w:p w14:paraId="0E98DAD4" w14:textId="77777777" w:rsidR="00906D5C" w:rsidRPr="00531A46" w:rsidRDefault="00906D5C" w:rsidP="00906D5C">
      <w:pPr>
        <w:jc w:val="both"/>
        <w:rPr>
          <w:rFonts w:ascii="Calibri" w:hAnsi="Calibri" w:cs="Calibri"/>
          <w:b/>
          <w:sz w:val="22"/>
          <w:szCs w:val="22"/>
        </w:rPr>
      </w:pPr>
    </w:p>
    <w:p w14:paraId="190FBEE0" w14:textId="77777777" w:rsidR="00906D5C" w:rsidRPr="00531A46" w:rsidRDefault="00906D5C" w:rsidP="00906D5C">
      <w:pPr>
        <w:jc w:val="both"/>
        <w:rPr>
          <w:rFonts w:ascii="Calibri" w:hAnsi="Calibri" w:cs="Calibri"/>
          <w:b/>
          <w:sz w:val="22"/>
          <w:szCs w:val="22"/>
        </w:rPr>
      </w:pPr>
      <w:r w:rsidRPr="00531A46">
        <w:rPr>
          <w:rFonts w:ascii="Calibri" w:hAnsi="Calibri" w:cs="Calibri"/>
          <w:b/>
          <w:sz w:val="22"/>
          <w:szCs w:val="22"/>
        </w:rPr>
        <w:t xml:space="preserve">Micro-credentials Leading to an NFQ Award: </w:t>
      </w:r>
      <w:r w:rsidRPr="00531A46">
        <w:rPr>
          <w:rFonts w:ascii="Calibri" w:hAnsi="Calibri" w:cs="Calibri"/>
          <w:bCs/>
          <w:sz w:val="22"/>
          <w:szCs w:val="22"/>
        </w:rPr>
        <w:t xml:space="preserve">where on </w:t>
      </w:r>
      <w:r w:rsidRPr="00531A46">
        <w:rPr>
          <w:rFonts w:ascii="Calibri" w:hAnsi="Calibri" w:cs="Calibri"/>
          <w:sz w:val="22"/>
          <w:szCs w:val="22"/>
        </w:rPr>
        <w:t>successful completion of this micro-credential, learners will be awarded a qualification, (</w:t>
      </w:r>
      <w:r w:rsidRPr="00531A46">
        <w:rPr>
          <w:rFonts w:ascii="Calibri" w:hAnsi="Calibri" w:cs="Calibri"/>
          <w:i/>
          <w:sz w:val="22"/>
          <w:szCs w:val="22"/>
        </w:rPr>
        <w:t>i.e. special purpose, supplementary, minor</w:t>
      </w:r>
      <w:r w:rsidRPr="00531A46">
        <w:rPr>
          <w:rFonts w:ascii="Calibri" w:hAnsi="Calibri" w:cs="Calibri"/>
          <w:sz w:val="22"/>
          <w:szCs w:val="22"/>
        </w:rPr>
        <w:t>) at a specified level on the Irish NFQ.</w:t>
      </w:r>
    </w:p>
    <w:p w14:paraId="0C1A5246" w14:textId="77777777" w:rsidR="00906D5C" w:rsidRPr="00531A46" w:rsidRDefault="00906D5C" w:rsidP="00906D5C">
      <w:pPr>
        <w:jc w:val="both"/>
        <w:rPr>
          <w:rFonts w:ascii="Calibri" w:hAnsi="Calibri" w:cs="Calibri"/>
          <w:sz w:val="22"/>
          <w:szCs w:val="22"/>
        </w:rPr>
      </w:pPr>
    </w:p>
    <w:p w14:paraId="68D2F210" w14:textId="77777777" w:rsidR="00906D5C" w:rsidRPr="00AB7B2A" w:rsidRDefault="00906D5C" w:rsidP="00906D5C">
      <w:pPr>
        <w:jc w:val="both"/>
        <w:rPr>
          <w:rFonts w:ascii="Calibri" w:hAnsi="Calibri" w:cs="Calibri"/>
        </w:rPr>
      </w:pPr>
    </w:p>
    <w:p w14:paraId="7F9D3736" w14:textId="77777777" w:rsidR="00906D5C" w:rsidRPr="00AB7B2A" w:rsidRDefault="00906D5C" w:rsidP="00906D5C">
      <w:pPr>
        <w:jc w:val="both"/>
        <w:rPr>
          <w:rFonts w:ascii="Calibri" w:hAnsi="Calibri" w:cs="Calibri"/>
          <w:b/>
          <w:bCs/>
        </w:rPr>
      </w:pPr>
      <w:bookmarkStart w:id="10" w:name="Guiding_Principles"/>
      <w:bookmarkStart w:id="11" w:name="_bookmark5"/>
      <w:bookmarkEnd w:id="10"/>
      <w:bookmarkEnd w:id="11"/>
      <w:r w:rsidRPr="00AB7B2A">
        <w:rPr>
          <w:rFonts w:ascii="Calibri" w:hAnsi="Calibri" w:cs="Calibri"/>
          <w:b/>
          <w:bCs/>
        </w:rPr>
        <w:t>3.0</w:t>
      </w:r>
      <w:r w:rsidRPr="00AB7B2A">
        <w:rPr>
          <w:rFonts w:ascii="Calibri" w:hAnsi="Calibri" w:cs="Calibri"/>
          <w:b/>
          <w:bCs/>
        </w:rPr>
        <w:tab/>
        <w:t>Guiding Principles</w:t>
      </w:r>
    </w:p>
    <w:p w14:paraId="4D5C05EE" w14:textId="3C04C11B" w:rsidR="00906D5C" w:rsidRPr="00531A46" w:rsidRDefault="00906D5C" w:rsidP="00906D5C">
      <w:pPr>
        <w:jc w:val="both"/>
        <w:rPr>
          <w:rFonts w:ascii="Calibri" w:hAnsi="Calibri" w:cs="Calibri"/>
          <w:sz w:val="22"/>
          <w:szCs w:val="22"/>
        </w:rPr>
      </w:pPr>
      <w:r w:rsidRPr="00531A46">
        <w:rPr>
          <w:rFonts w:ascii="Calibri" w:hAnsi="Calibri" w:cs="Calibri"/>
          <w:sz w:val="22"/>
          <w:szCs w:val="22"/>
        </w:rPr>
        <w:t xml:space="preserve">Informed by the European Council (EC, 2022) and aligned with University of Galway’s strategic objectives, the following principles guide the provision of </w:t>
      </w:r>
      <w:r w:rsidR="00B673C7">
        <w:rPr>
          <w:rFonts w:ascii="Calibri" w:hAnsi="Calibri" w:cs="Calibri"/>
          <w:sz w:val="22"/>
          <w:szCs w:val="22"/>
        </w:rPr>
        <w:t>m</w:t>
      </w:r>
      <w:r w:rsidRPr="00531A46">
        <w:rPr>
          <w:rFonts w:ascii="Calibri" w:hAnsi="Calibri" w:cs="Calibri"/>
          <w:sz w:val="22"/>
          <w:szCs w:val="22"/>
        </w:rPr>
        <w:t>icro-credentials:</w:t>
      </w:r>
    </w:p>
    <w:p w14:paraId="5E5C6A47" w14:textId="77777777" w:rsidR="00906D5C" w:rsidRPr="00531A46" w:rsidRDefault="00906D5C" w:rsidP="00906D5C">
      <w:pPr>
        <w:jc w:val="both"/>
        <w:rPr>
          <w:rFonts w:ascii="Calibri" w:hAnsi="Calibri" w:cs="Calibri"/>
          <w:sz w:val="22"/>
          <w:szCs w:val="22"/>
        </w:rPr>
      </w:pPr>
    </w:p>
    <w:p w14:paraId="1A661870" w14:textId="12ECD293"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Quality Assurance:</w:t>
      </w:r>
      <w:r w:rsidRPr="00531A46">
        <w:rPr>
          <w:rFonts w:ascii="Calibri" w:hAnsi="Calibri" w:cs="Calibri"/>
        </w:rPr>
        <w:t xml:space="preserve"> </w:t>
      </w:r>
      <w:r w:rsidR="00B673C7">
        <w:rPr>
          <w:rFonts w:ascii="Calibri" w:hAnsi="Calibri" w:cs="Calibri"/>
        </w:rPr>
        <w:t>m</w:t>
      </w:r>
      <w:r w:rsidRPr="00531A46">
        <w:rPr>
          <w:rFonts w:ascii="Calibri" w:hAnsi="Calibri" w:cs="Calibri"/>
        </w:rPr>
        <w:t>icro-credentials adhere to the University’s Curriculum Design and Management Policy (QA050),</w:t>
      </w:r>
      <w:r w:rsidRPr="00531A46">
        <w:rPr>
          <w:rFonts w:ascii="Calibri" w:hAnsi="Calibri" w:cs="Calibri"/>
          <w:b/>
          <w:bCs/>
          <w:color w:val="EE0000"/>
        </w:rPr>
        <w:t xml:space="preserve"> </w:t>
      </w:r>
      <w:r w:rsidRPr="00531A46">
        <w:rPr>
          <w:rFonts w:ascii="Calibri" w:hAnsi="Calibri" w:cs="Calibri"/>
        </w:rPr>
        <w:t>aligned with the Standards and Guidelines for Quality Assurance in the European Higher Education Area (ESG</w:t>
      </w:r>
      <w:r w:rsidR="00B277A0">
        <w:rPr>
          <w:rFonts w:ascii="Calibri" w:hAnsi="Calibri" w:cs="Calibri"/>
        </w:rPr>
        <w:t xml:space="preserve"> European Standards and Guidelines</w:t>
      </w:r>
      <w:r w:rsidRPr="00531A46">
        <w:rPr>
          <w:rFonts w:ascii="Calibri" w:hAnsi="Calibri" w:cs="Calibri"/>
        </w:rPr>
        <w:t>, 2015) and QQI guidelines.</w:t>
      </w:r>
    </w:p>
    <w:p w14:paraId="59C430B7" w14:textId="0211FE81"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Transparency:</w:t>
      </w:r>
      <w:r w:rsidRPr="00531A46">
        <w:rPr>
          <w:rFonts w:ascii="Calibri" w:hAnsi="Calibri" w:cs="Calibri"/>
        </w:rPr>
        <w:t xml:space="preserve"> </w:t>
      </w:r>
      <w:r w:rsidR="00B673C7">
        <w:rPr>
          <w:rFonts w:ascii="Calibri" w:hAnsi="Calibri" w:cs="Calibri"/>
        </w:rPr>
        <w:t>m</w:t>
      </w:r>
      <w:r w:rsidRPr="00531A46">
        <w:rPr>
          <w:rFonts w:ascii="Calibri" w:hAnsi="Calibri" w:cs="Calibri"/>
        </w:rPr>
        <w:t xml:space="preserve">icro-credentials provide clear, measurable, and comparable information on NFQ level, entry requirements, learning outcomes, workload, content, assessment methods, and </w:t>
      </w:r>
      <w:proofErr w:type="spellStart"/>
      <w:r w:rsidRPr="00531A46">
        <w:rPr>
          <w:rFonts w:ascii="Calibri" w:hAnsi="Calibri" w:cs="Calibri"/>
        </w:rPr>
        <w:t>stackability</w:t>
      </w:r>
      <w:proofErr w:type="spellEnd"/>
      <w:r w:rsidRPr="00531A46">
        <w:rPr>
          <w:rFonts w:ascii="Calibri" w:hAnsi="Calibri" w:cs="Calibri"/>
        </w:rPr>
        <w:t xml:space="preserve"> options.</w:t>
      </w:r>
    </w:p>
    <w:p w14:paraId="568DC6E1" w14:textId="7B5F05B1"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Relevance:</w:t>
      </w:r>
      <w:r w:rsidRPr="00531A46">
        <w:rPr>
          <w:rFonts w:ascii="Calibri" w:hAnsi="Calibri" w:cs="Calibri"/>
        </w:rPr>
        <w:t xml:space="preserve"> </w:t>
      </w:r>
      <w:r w:rsidR="00B673C7">
        <w:rPr>
          <w:rFonts w:ascii="Calibri" w:hAnsi="Calibri" w:cs="Calibri"/>
        </w:rPr>
        <w:t>m</w:t>
      </w:r>
      <w:r w:rsidRPr="00531A46">
        <w:rPr>
          <w:rFonts w:ascii="Calibri" w:hAnsi="Calibri" w:cs="Calibri"/>
        </w:rPr>
        <w:t xml:space="preserve">icro-credentials are designed in collaboration with industry, employers, and community stakeholders to address specific skill needs, as identified in reports </w:t>
      </w:r>
      <w:r w:rsidR="00EC4D94">
        <w:rPr>
          <w:rFonts w:ascii="Calibri" w:hAnsi="Calibri" w:cs="Calibri"/>
        </w:rPr>
        <w:t xml:space="preserve">from the </w:t>
      </w:r>
      <w:r w:rsidRPr="00531A46">
        <w:rPr>
          <w:rFonts w:ascii="Calibri" w:hAnsi="Calibri" w:cs="Calibri"/>
        </w:rPr>
        <w:t xml:space="preserve">National Skills </w:t>
      </w:r>
      <w:r w:rsidR="00EC4D94">
        <w:rPr>
          <w:rFonts w:ascii="Calibri" w:hAnsi="Calibri" w:cs="Calibri"/>
        </w:rPr>
        <w:t>Council</w:t>
      </w:r>
      <w:r w:rsidRPr="00531A46">
        <w:rPr>
          <w:rFonts w:ascii="Calibri" w:hAnsi="Calibri" w:cs="Calibri"/>
        </w:rPr>
        <w:t xml:space="preserve"> and IUA </w:t>
      </w:r>
      <w:proofErr w:type="spellStart"/>
      <w:r w:rsidRPr="00531A46">
        <w:rPr>
          <w:rFonts w:ascii="Calibri" w:hAnsi="Calibri" w:cs="Calibri"/>
        </w:rPr>
        <w:t>MicroCreds</w:t>
      </w:r>
      <w:proofErr w:type="spellEnd"/>
      <w:r w:rsidRPr="00531A46">
        <w:rPr>
          <w:rFonts w:ascii="Calibri" w:hAnsi="Calibri" w:cs="Calibri"/>
        </w:rPr>
        <w:t xml:space="preserve"> Innovate events.</w:t>
      </w:r>
    </w:p>
    <w:p w14:paraId="18137CE2" w14:textId="1C594845"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Valid Assessment:</w:t>
      </w:r>
      <w:r w:rsidRPr="00531A46">
        <w:rPr>
          <w:rFonts w:ascii="Calibri" w:hAnsi="Calibri" w:cs="Calibri"/>
        </w:rPr>
        <w:t xml:space="preserve"> </w:t>
      </w:r>
      <w:r w:rsidR="00B673C7">
        <w:rPr>
          <w:rFonts w:ascii="Calibri" w:hAnsi="Calibri" w:cs="Calibri"/>
        </w:rPr>
        <w:t>l</w:t>
      </w:r>
      <w:r w:rsidRPr="00531A46">
        <w:rPr>
          <w:rFonts w:ascii="Calibri" w:hAnsi="Calibri" w:cs="Calibri"/>
        </w:rPr>
        <w:t>earning outcomes are assessed against transparent, fair, and reliable criteria, ensuring academic integrity.</w:t>
      </w:r>
    </w:p>
    <w:p w14:paraId="3EAAA718" w14:textId="449AF072"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Learning Pathways:</w:t>
      </w:r>
      <w:r w:rsidRPr="00531A46">
        <w:rPr>
          <w:rFonts w:ascii="Calibri" w:hAnsi="Calibri" w:cs="Calibri"/>
        </w:rPr>
        <w:t xml:space="preserve"> </w:t>
      </w:r>
      <w:r w:rsidR="00B673C7">
        <w:rPr>
          <w:rFonts w:ascii="Calibri" w:hAnsi="Calibri" w:cs="Calibri"/>
        </w:rPr>
        <w:t>m</w:t>
      </w:r>
      <w:r w:rsidRPr="00531A46">
        <w:rPr>
          <w:rFonts w:ascii="Calibri" w:hAnsi="Calibri" w:cs="Calibri"/>
        </w:rPr>
        <w:t>icro-credentials are modular and support flexible learning pathways, enabling stacking toward minor, special purpose or major awards.</w:t>
      </w:r>
    </w:p>
    <w:p w14:paraId="33D91804" w14:textId="38C24137"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Recognition:</w:t>
      </w:r>
      <w:r w:rsidRPr="00531A46">
        <w:rPr>
          <w:rFonts w:ascii="Calibri" w:hAnsi="Calibri" w:cs="Calibri"/>
        </w:rPr>
        <w:t xml:space="preserve"> </w:t>
      </w:r>
      <w:r w:rsidR="00B673C7">
        <w:rPr>
          <w:rFonts w:ascii="Calibri" w:hAnsi="Calibri" w:cs="Calibri"/>
        </w:rPr>
        <w:t>m</w:t>
      </w:r>
      <w:r w:rsidRPr="00531A46">
        <w:rPr>
          <w:rFonts w:ascii="Calibri" w:hAnsi="Calibri" w:cs="Calibri"/>
        </w:rPr>
        <w:t xml:space="preserve">icro-credentials have clear </w:t>
      </w:r>
      <w:r w:rsidR="00D160FB" w:rsidRPr="00531A46">
        <w:rPr>
          <w:rFonts w:ascii="Calibri" w:hAnsi="Calibri" w:cs="Calibri"/>
        </w:rPr>
        <w:t>signalling</w:t>
      </w:r>
      <w:r w:rsidRPr="00531A46">
        <w:rPr>
          <w:rFonts w:ascii="Calibri" w:hAnsi="Calibri" w:cs="Calibri"/>
        </w:rPr>
        <w:t xml:space="preserve"> value for courses of learning, enhancing employability and personal development.</w:t>
      </w:r>
    </w:p>
    <w:p w14:paraId="2A7B1231" w14:textId="2DD01FD5"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Portability:</w:t>
      </w:r>
      <w:r w:rsidRPr="00531A46">
        <w:rPr>
          <w:rFonts w:ascii="Calibri" w:hAnsi="Calibri" w:cs="Calibri"/>
        </w:rPr>
        <w:t xml:space="preserve"> </w:t>
      </w:r>
      <w:r w:rsidR="00B673C7">
        <w:rPr>
          <w:rFonts w:ascii="Calibri" w:hAnsi="Calibri" w:cs="Calibri"/>
        </w:rPr>
        <w:t>l</w:t>
      </w:r>
      <w:r w:rsidRPr="00531A46">
        <w:rPr>
          <w:rFonts w:ascii="Calibri" w:hAnsi="Calibri" w:cs="Calibri"/>
        </w:rPr>
        <w:t xml:space="preserve">earners own their </w:t>
      </w:r>
      <w:r w:rsidR="00B673C7">
        <w:rPr>
          <w:rFonts w:ascii="Calibri" w:hAnsi="Calibri" w:cs="Calibri"/>
        </w:rPr>
        <w:t>m</w:t>
      </w:r>
      <w:r w:rsidRPr="00531A46">
        <w:rPr>
          <w:rFonts w:ascii="Calibri" w:hAnsi="Calibri" w:cs="Calibri"/>
        </w:rPr>
        <w:t xml:space="preserve">icro-credentials, which can be stored and shared via secure digital platforms, such as </w:t>
      </w:r>
      <w:proofErr w:type="spellStart"/>
      <w:r w:rsidRPr="00531A46">
        <w:rPr>
          <w:rFonts w:ascii="Calibri" w:hAnsi="Calibri" w:cs="Calibri"/>
        </w:rPr>
        <w:t>Digitry</w:t>
      </w:r>
      <w:proofErr w:type="spellEnd"/>
      <w:r w:rsidRPr="00531A46">
        <w:rPr>
          <w:rFonts w:ascii="Calibri" w:hAnsi="Calibri" w:cs="Calibri"/>
        </w:rPr>
        <w:t xml:space="preserve">, ensuring GDPR compliance. </w:t>
      </w:r>
    </w:p>
    <w:p w14:paraId="4E75B93E" w14:textId="5DBFF696"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Learner-Centredness:</w:t>
      </w:r>
      <w:r w:rsidRPr="00531A46">
        <w:rPr>
          <w:rFonts w:ascii="Calibri" w:hAnsi="Calibri" w:cs="Calibri"/>
        </w:rPr>
        <w:t xml:space="preserve"> </w:t>
      </w:r>
      <w:r w:rsidR="00B673C7">
        <w:rPr>
          <w:rFonts w:ascii="Calibri" w:hAnsi="Calibri" w:cs="Calibri"/>
        </w:rPr>
        <w:t>m</w:t>
      </w:r>
      <w:r w:rsidRPr="00531A46">
        <w:rPr>
          <w:rFonts w:ascii="Calibri" w:hAnsi="Calibri" w:cs="Calibri"/>
        </w:rPr>
        <w:t>icro-credentials are designed to meet the needs of diverse adult learners, including those balancing work and other commitments with their study. Learner feedback is integral to quality assurance and continuous improvement.</w:t>
      </w:r>
    </w:p>
    <w:p w14:paraId="15505864" w14:textId="16079E2C"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Authenticity:</w:t>
      </w:r>
      <w:r w:rsidRPr="00531A46">
        <w:rPr>
          <w:rFonts w:ascii="Calibri" w:hAnsi="Calibri" w:cs="Calibri"/>
        </w:rPr>
        <w:t xml:space="preserve"> </w:t>
      </w:r>
      <w:r w:rsidR="00B673C7">
        <w:rPr>
          <w:rFonts w:ascii="Calibri" w:hAnsi="Calibri" w:cs="Calibri"/>
        </w:rPr>
        <w:t>c</w:t>
      </w:r>
      <w:r w:rsidRPr="00531A46">
        <w:rPr>
          <w:rFonts w:ascii="Calibri" w:hAnsi="Calibri" w:cs="Calibri"/>
        </w:rPr>
        <w:t>ertifications include verifiable details on the learner’s identity, the issuer (University of Galway), and the date and place of issuance. This will be enabled via the USP</w:t>
      </w:r>
      <w:r w:rsidR="00BB18FA">
        <w:rPr>
          <w:rFonts w:ascii="Calibri" w:hAnsi="Calibri" w:cs="Calibri"/>
        </w:rPr>
        <w:t xml:space="preserve"> (University Skills Passport)</w:t>
      </w:r>
      <w:r w:rsidRPr="00531A46">
        <w:rPr>
          <w:rFonts w:ascii="Calibri" w:hAnsi="Calibri" w:cs="Calibri"/>
        </w:rPr>
        <w:t>.</w:t>
      </w:r>
    </w:p>
    <w:p w14:paraId="465BB823" w14:textId="1C5108A1" w:rsidR="00906D5C" w:rsidRPr="00531A46" w:rsidRDefault="00906D5C" w:rsidP="00906D5C">
      <w:pPr>
        <w:pStyle w:val="ListParagraph"/>
        <w:widowControl w:val="0"/>
        <w:numPr>
          <w:ilvl w:val="0"/>
          <w:numId w:val="8"/>
        </w:numPr>
        <w:autoSpaceDE w:val="0"/>
        <w:autoSpaceDN w:val="0"/>
        <w:spacing w:after="0" w:line="240" w:lineRule="auto"/>
        <w:contextualSpacing w:val="0"/>
        <w:jc w:val="both"/>
        <w:rPr>
          <w:rFonts w:ascii="Calibri" w:hAnsi="Calibri" w:cs="Calibri"/>
        </w:rPr>
      </w:pPr>
      <w:r w:rsidRPr="00531A46">
        <w:rPr>
          <w:rFonts w:ascii="Calibri" w:hAnsi="Calibri" w:cs="Calibri"/>
          <w:b/>
          <w:bCs/>
        </w:rPr>
        <w:t>Information and Guidance:</w:t>
      </w:r>
      <w:r w:rsidRPr="00531A46">
        <w:rPr>
          <w:rFonts w:ascii="Calibri" w:hAnsi="Calibri" w:cs="Calibri"/>
        </w:rPr>
        <w:t xml:space="preserve"> </w:t>
      </w:r>
      <w:r w:rsidR="00B673C7">
        <w:rPr>
          <w:rFonts w:ascii="Calibri" w:hAnsi="Calibri" w:cs="Calibri"/>
        </w:rPr>
        <w:t>c</w:t>
      </w:r>
      <w:r w:rsidRPr="00531A46">
        <w:rPr>
          <w:rFonts w:ascii="Calibri" w:hAnsi="Calibri" w:cs="Calibri"/>
        </w:rPr>
        <w:t>omprehensive information on Micro-credentials is accessible via the University website, the national microcreds.ie portal, and promotional activities such as Open Days, Job Expos, and industry networking events.</w:t>
      </w:r>
    </w:p>
    <w:p w14:paraId="16D6BED4" w14:textId="77777777" w:rsidR="00906D5C" w:rsidRDefault="00906D5C" w:rsidP="00906D5C">
      <w:pPr>
        <w:jc w:val="both"/>
        <w:rPr>
          <w:rFonts w:ascii="Calibri" w:hAnsi="Calibri" w:cs="Calibri"/>
        </w:rPr>
      </w:pPr>
    </w:p>
    <w:p w14:paraId="7C66BD96" w14:textId="77777777" w:rsidR="00531A46" w:rsidRDefault="00531A46" w:rsidP="00906D5C">
      <w:pPr>
        <w:jc w:val="both"/>
        <w:rPr>
          <w:rFonts w:ascii="Calibri" w:hAnsi="Calibri" w:cs="Calibri"/>
        </w:rPr>
      </w:pPr>
    </w:p>
    <w:p w14:paraId="6518D0DB" w14:textId="77777777" w:rsidR="00EE1136" w:rsidRDefault="00EE1136" w:rsidP="00906D5C">
      <w:pPr>
        <w:jc w:val="both"/>
        <w:rPr>
          <w:rFonts w:ascii="Calibri" w:hAnsi="Calibri" w:cs="Calibri"/>
        </w:rPr>
      </w:pPr>
    </w:p>
    <w:p w14:paraId="5A76BC08" w14:textId="77777777" w:rsidR="00EE1136" w:rsidRDefault="00EE1136" w:rsidP="00906D5C">
      <w:pPr>
        <w:jc w:val="both"/>
        <w:rPr>
          <w:rFonts w:ascii="Calibri" w:hAnsi="Calibri" w:cs="Calibri"/>
        </w:rPr>
      </w:pPr>
    </w:p>
    <w:p w14:paraId="7B87F852" w14:textId="77777777" w:rsidR="00EE1136" w:rsidRDefault="00EE1136" w:rsidP="00906D5C">
      <w:pPr>
        <w:jc w:val="both"/>
        <w:rPr>
          <w:rFonts w:ascii="Calibri" w:hAnsi="Calibri" w:cs="Calibri"/>
        </w:rPr>
      </w:pPr>
    </w:p>
    <w:p w14:paraId="15F69DCB" w14:textId="77777777" w:rsidR="00EE1136" w:rsidRDefault="00EE1136" w:rsidP="00906D5C">
      <w:pPr>
        <w:jc w:val="both"/>
        <w:rPr>
          <w:rFonts w:ascii="Calibri" w:hAnsi="Calibri" w:cs="Calibri"/>
        </w:rPr>
      </w:pPr>
    </w:p>
    <w:p w14:paraId="31F77C40" w14:textId="77777777" w:rsidR="00EE1136" w:rsidRPr="00AB7B2A" w:rsidRDefault="00EE1136" w:rsidP="00906D5C">
      <w:pPr>
        <w:jc w:val="both"/>
        <w:rPr>
          <w:rFonts w:ascii="Calibri" w:hAnsi="Calibri" w:cs="Calibri"/>
        </w:rPr>
      </w:pPr>
    </w:p>
    <w:p w14:paraId="528A9052" w14:textId="73269577" w:rsidR="00906D5C" w:rsidRPr="006607DF" w:rsidRDefault="00906D5C" w:rsidP="006607DF">
      <w:pPr>
        <w:pStyle w:val="ListParagraph"/>
        <w:widowControl w:val="0"/>
        <w:numPr>
          <w:ilvl w:val="1"/>
          <w:numId w:val="16"/>
        </w:numPr>
        <w:autoSpaceDE w:val="0"/>
        <w:autoSpaceDN w:val="0"/>
        <w:spacing w:after="0" w:line="240" w:lineRule="auto"/>
        <w:contextualSpacing w:val="0"/>
        <w:jc w:val="both"/>
        <w:rPr>
          <w:rFonts w:ascii="Calibri" w:hAnsi="Calibri" w:cs="Calibri"/>
          <w:b/>
          <w:bCs/>
        </w:rPr>
      </w:pPr>
      <w:bookmarkStart w:id="12" w:name="Characteristics_of_Micro-credentials"/>
      <w:bookmarkStart w:id="13" w:name="_bookmark6"/>
      <w:bookmarkEnd w:id="12"/>
      <w:bookmarkEnd w:id="13"/>
      <w:r w:rsidRPr="00AB7B2A">
        <w:rPr>
          <w:rFonts w:ascii="Calibri" w:hAnsi="Calibri" w:cs="Calibri"/>
          <w:b/>
          <w:bCs/>
        </w:rPr>
        <w:lastRenderedPageBreak/>
        <w:t>Characteristics of Micro-credentials</w:t>
      </w:r>
    </w:p>
    <w:p w14:paraId="28CF6D09" w14:textId="74E1CA9B" w:rsidR="00906D5C" w:rsidRPr="00AB7B2A" w:rsidRDefault="00906D5C" w:rsidP="00906D5C">
      <w:pPr>
        <w:pStyle w:val="ListParagraph"/>
        <w:widowControl w:val="0"/>
        <w:numPr>
          <w:ilvl w:val="0"/>
          <w:numId w:val="9"/>
        </w:numPr>
        <w:autoSpaceDE w:val="0"/>
        <w:autoSpaceDN w:val="0"/>
        <w:spacing w:after="0" w:line="240" w:lineRule="auto"/>
        <w:contextualSpacing w:val="0"/>
        <w:jc w:val="both"/>
        <w:rPr>
          <w:rFonts w:ascii="Calibri" w:hAnsi="Calibri" w:cs="Calibri"/>
        </w:rPr>
      </w:pPr>
      <w:r w:rsidRPr="00AB7B2A">
        <w:rPr>
          <w:rFonts w:ascii="Calibri" w:hAnsi="Calibri" w:cs="Calibri"/>
          <w:b/>
          <w:bCs/>
        </w:rPr>
        <w:t>Learning Level:</w:t>
      </w:r>
      <w:r w:rsidRPr="00AB7B2A">
        <w:rPr>
          <w:rFonts w:ascii="Calibri" w:hAnsi="Calibri" w:cs="Calibri"/>
        </w:rPr>
        <w:t xml:space="preserve"> </w:t>
      </w:r>
      <w:r w:rsidR="00B673C7">
        <w:rPr>
          <w:rFonts w:ascii="Calibri" w:hAnsi="Calibri" w:cs="Calibri"/>
        </w:rPr>
        <w:t>m</w:t>
      </w:r>
      <w:r w:rsidRPr="00AB7B2A">
        <w:rPr>
          <w:rFonts w:ascii="Calibri" w:hAnsi="Calibri" w:cs="Calibri"/>
        </w:rPr>
        <w:t>icro-credentials are offered at NFQ levels 7–9. Entry requirements may include an award at the NFQ level immediately below or equivalent prior learning, assessed via RPL where applicable.</w:t>
      </w:r>
    </w:p>
    <w:p w14:paraId="3896C48B" w14:textId="62E4FEDE" w:rsidR="00906D5C" w:rsidRPr="00AB7B2A" w:rsidRDefault="00906D5C" w:rsidP="00906D5C">
      <w:pPr>
        <w:pStyle w:val="ListParagraph"/>
        <w:widowControl w:val="0"/>
        <w:numPr>
          <w:ilvl w:val="0"/>
          <w:numId w:val="9"/>
        </w:numPr>
        <w:autoSpaceDE w:val="0"/>
        <w:autoSpaceDN w:val="0"/>
        <w:spacing w:after="0" w:line="240" w:lineRule="auto"/>
        <w:contextualSpacing w:val="0"/>
        <w:jc w:val="both"/>
        <w:rPr>
          <w:rFonts w:ascii="Calibri" w:hAnsi="Calibri" w:cs="Calibri"/>
        </w:rPr>
      </w:pPr>
      <w:r w:rsidRPr="00AB7B2A">
        <w:rPr>
          <w:rFonts w:ascii="Calibri" w:hAnsi="Calibri" w:cs="Calibri"/>
          <w:b/>
          <w:bCs/>
        </w:rPr>
        <w:t>Credit-Bearing:</w:t>
      </w:r>
      <w:r w:rsidRPr="00AB7B2A">
        <w:rPr>
          <w:rFonts w:ascii="Calibri" w:hAnsi="Calibri" w:cs="Calibri"/>
        </w:rPr>
        <w:t xml:space="preserve"> </w:t>
      </w:r>
      <w:r w:rsidR="00B673C7">
        <w:rPr>
          <w:rFonts w:ascii="Calibri" w:hAnsi="Calibri" w:cs="Calibri"/>
        </w:rPr>
        <w:t>m</w:t>
      </w:r>
      <w:r w:rsidRPr="00AB7B2A">
        <w:rPr>
          <w:rFonts w:ascii="Calibri" w:hAnsi="Calibri" w:cs="Calibri"/>
        </w:rPr>
        <w:t xml:space="preserve">icro-credentials may carry between 5 - 30 ECTS credits (1 ECTS = </w:t>
      </w:r>
      <w:r w:rsidR="00BB6FC1">
        <w:rPr>
          <w:rFonts w:ascii="Calibri" w:hAnsi="Calibri" w:cs="Calibri"/>
        </w:rPr>
        <w:t xml:space="preserve">20 - </w:t>
      </w:r>
      <w:r w:rsidRPr="00AB7B2A">
        <w:rPr>
          <w:rFonts w:ascii="Calibri" w:hAnsi="Calibri" w:cs="Calibri"/>
        </w:rPr>
        <w:t xml:space="preserve">25 learning hours), comprising a single </w:t>
      </w:r>
      <w:r w:rsidR="00EC4D94">
        <w:rPr>
          <w:rFonts w:ascii="Calibri" w:hAnsi="Calibri" w:cs="Calibri"/>
        </w:rPr>
        <w:t>module</w:t>
      </w:r>
      <w:r w:rsidRPr="00AB7B2A">
        <w:rPr>
          <w:rFonts w:ascii="Calibri" w:hAnsi="Calibri" w:cs="Calibri"/>
        </w:rPr>
        <w:t>. Learners receive certification upon completion. Note: at University of Galway the standard micro-credential unit is 5 – 10 ECT</w:t>
      </w:r>
      <w:r w:rsidR="00BB6FC1">
        <w:rPr>
          <w:rFonts w:ascii="Calibri" w:hAnsi="Calibri" w:cs="Calibri"/>
        </w:rPr>
        <w:t>S</w:t>
      </w:r>
      <w:r w:rsidRPr="00AB7B2A">
        <w:rPr>
          <w:rFonts w:ascii="Calibri" w:hAnsi="Calibri" w:cs="Calibri"/>
        </w:rPr>
        <w:t>.</w:t>
      </w:r>
    </w:p>
    <w:p w14:paraId="0AFECCE9" w14:textId="70833B0D" w:rsidR="00906D5C" w:rsidRPr="00AB7B2A" w:rsidRDefault="00906D5C" w:rsidP="00906D5C">
      <w:pPr>
        <w:pStyle w:val="ListParagraph"/>
        <w:widowControl w:val="0"/>
        <w:numPr>
          <w:ilvl w:val="0"/>
          <w:numId w:val="9"/>
        </w:numPr>
        <w:autoSpaceDE w:val="0"/>
        <w:autoSpaceDN w:val="0"/>
        <w:spacing w:after="0" w:line="240" w:lineRule="auto"/>
        <w:contextualSpacing w:val="0"/>
        <w:jc w:val="both"/>
        <w:rPr>
          <w:rFonts w:ascii="Calibri" w:hAnsi="Calibri" w:cs="Calibri"/>
        </w:rPr>
      </w:pPr>
      <w:r w:rsidRPr="00AB7B2A">
        <w:rPr>
          <w:rFonts w:ascii="Calibri" w:hAnsi="Calibri" w:cs="Calibri"/>
          <w:b/>
          <w:bCs/>
        </w:rPr>
        <w:t>Short and Flexible:</w:t>
      </w:r>
      <w:r w:rsidRPr="00AB7B2A">
        <w:rPr>
          <w:rFonts w:ascii="Calibri" w:hAnsi="Calibri" w:cs="Calibri"/>
        </w:rPr>
        <w:t xml:space="preserve"> </w:t>
      </w:r>
      <w:r w:rsidR="00B673C7">
        <w:rPr>
          <w:rFonts w:ascii="Calibri" w:hAnsi="Calibri" w:cs="Calibri"/>
        </w:rPr>
        <w:t>d</w:t>
      </w:r>
      <w:r w:rsidRPr="00AB7B2A">
        <w:rPr>
          <w:rFonts w:ascii="Calibri" w:hAnsi="Calibri" w:cs="Calibri"/>
        </w:rPr>
        <w:t>esigned for completion within 12 weeks or less (with some exceptions of longer programmes). Micro-credentials are offered in flexible formats (asynchronous online, synchronous online, on-campus, or blended) to accommodate diverse learner needs.</w:t>
      </w:r>
    </w:p>
    <w:p w14:paraId="5C5BF4F9" w14:textId="65453CBA" w:rsidR="00D160FB" w:rsidRPr="00C47413" w:rsidRDefault="00906D5C" w:rsidP="006607DF">
      <w:pPr>
        <w:pStyle w:val="ListParagraph"/>
        <w:widowControl w:val="0"/>
        <w:numPr>
          <w:ilvl w:val="0"/>
          <w:numId w:val="9"/>
        </w:numPr>
        <w:autoSpaceDE w:val="0"/>
        <w:autoSpaceDN w:val="0"/>
        <w:spacing w:after="0" w:line="240" w:lineRule="auto"/>
        <w:contextualSpacing w:val="0"/>
        <w:jc w:val="both"/>
        <w:rPr>
          <w:rFonts w:ascii="Calibri" w:hAnsi="Calibri" w:cs="Calibri"/>
        </w:rPr>
      </w:pPr>
      <w:r w:rsidRPr="00C47413">
        <w:rPr>
          <w:rFonts w:ascii="Calibri" w:hAnsi="Calibri" w:cs="Calibri"/>
          <w:b/>
          <w:bCs/>
        </w:rPr>
        <w:t>Quality Assured:</w:t>
      </w:r>
      <w:r w:rsidRPr="00C47413">
        <w:rPr>
          <w:rFonts w:ascii="Calibri" w:hAnsi="Calibri" w:cs="Calibri"/>
        </w:rPr>
        <w:t xml:space="preserve"> </w:t>
      </w:r>
      <w:r w:rsidR="00B673C7">
        <w:rPr>
          <w:rFonts w:ascii="Calibri" w:hAnsi="Calibri" w:cs="Calibri"/>
        </w:rPr>
        <w:t>m</w:t>
      </w:r>
      <w:r w:rsidRPr="00C47413">
        <w:rPr>
          <w:rFonts w:ascii="Calibri" w:hAnsi="Calibri" w:cs="Calibri"/>
        </w:rPr>
        <w:t>icro-credentials are underpinned by</w:t>
      </w:r>
      <w:r w:rsidR="0056687F" w:rsidRPr="00C47413">
        <w:rPr>
          <w:rFonts w:ascii="Calibri" w:hAnsi="Calibri" w:cs="Calibri"/>
        </w:rPr>
        <w:t xml:space="preserve"> a number of the </w:t>
      </w:r>
      <w:r w:rsidRPr="00C47413">
        <w:rPr>
          <w:rFonts w:ascii="Calibri" w:hAnsi="Calibri" w:cs="Calibri"/>
        </w:rPr>
        <w:t xml:space="preserve">University’s </w:t>
      </w:r>
      <w:r w:rsidR="0056687F" w:rsidRPr="00C47413">
        <w:rPr>
          <w:rFonts w:ascii="Calibri" w:hAnsi="Calibri" w:cs="Calibri"/>
        </w:rPr>
        <w:t xml:space="preserve">Policies and Procedures, </w:t>
      </w:r>
      <w:r w:rsidR="00EE1136" w:rsidRPr="00C47413">
        <w:rPr>
          <w:rFonts w:ascii="Calibri" w:hAnsi="Calibri" w:cs="Calibri"/>
        </w:rPr>
        <w:t>as outlined in section 5.</w:t>
      </w:r>
      <w:r w:rsidR="00164047" w:rsidRPr="00C47413">
        <w:rPr>
          <w:rFonts w:ascii="Calibri" w:hAnsi="Calibri" w:cs="Calibri"/>
        </w:rPr>
        <w:t>0</w:t>
      </w:r>
      <w:r w:rsidR="0056687F" w:rsidRPr="00C47413">
        <w:rPr>
          <w:rFonts w:ascii="Calibri" w:hAnsi="Calibri" w:cs="Calibri"/>
        </w:rPr>
        <w:t xml:space="preserve">, in addition to ESG European Standards and Guidelines (2015) and QQI guidelines, </w:t>
      </w:r>
      <w:r w:rsidR="00D160FB" w:rsidRPr="00C47413">
        <w:rPr>
          <w:rFonts w:ascii="Calibri" w:hAnsi="Calibri" w:cs="Calibri"/>
        </w:rPr>
        <w:t xml:space="preserve">to </w:t>
      </w:r>
      <w:r w:rsidR="0056687F" w:rsidRPr="00C47413">
        <w:rPr>
          <w:rFonts w:ascii="Calibri" w:hAnsi="Calibri" w:cs="Calibri"/>
        </w:rPr>
        <w:t>ensur</w:t>
      </w:r>
      <w:r w:rsidR="00D160FB" w:rsidRPr="00C47413">
        <w:rPr>
          <w:rFonts w:ascii="Calibri" w:hAnsi="Calibri" w:cs="Calibri"/>
        </w:rPr>
        <w:t>e</w:t>
      </w:r>
      <w:r w:rsidR="0056687F" w:rsidRPr="00C47413">
        <w:rPr>
          <w:rFonts w:ascii="Calibri" w:hAnsi="Calibri" w:cs="Calibri"/>
        </w:rPr>
        <w:t xml:space="preserve"> rigorous teaching, learning, and assessment processes.</w:t>
      </w:r>
    </w:p>
    <w:p w14:paraId="4F711AFD" w14:textId="0AFEE07C" w:rsidR="00557584" w:rsidRPr="00B801E9" w:rsidRDefault="00906D5C" w:rsidP="006607DF">
      <w:pPr>
        <w:pStyle w:val="ListParagraph"/>
        <w:widowControl w:val="0"/>
        <w:numPr>
          <w:ilvl w:val="0"/>
          <w:numId w:val="9"/>
        </w:numPr>
        <w:autoSpaceDE w:val="0"/>
        <w:autoSpaceDN w:val="0"/>
        <w:spacing w:after="0" w:line="240" w:lineRule="auto"/>
        <w:contextualSpacing w:val="0"/>
        <w:jc w:val="both"/>
        <w:rPr>
          <w:rFonts w:ascii="Calibri" w:hAnsi="Calibri" w:cs="Calibri"/>
        </w:rPr>
      </w:pPr>
      <w:proofErr w:type="spellStart"/>
      <w:r w:rsidRPr="00B801E9">
        <w:rPr>
          <w:rFonts w:ascii="Calibri" w:hAnsi="Calibri" w:cs="Calibri"/>
          <w:b/>
          <w:bCs/>
        </w:rPr>
        <w:t>Stackability</w:t>
      </w:r>
      <w:proofErr w:type="spellEnd"/>
      <w:r w:rsidR="006607DF" w:rsidRPr="00B801E9">
        <w:rPr>
          <w:rFonts w:ascii="Calibri" w:hAnsi="Calibri" w:cs="Calibri"/>
          <w:b/>
          <w:bCs/>
        </w:rPr>
        <w:t xml:space="preserve">: </w:t>
      </w:r>
      <w:r w:rsidR="006607DF" w:rsidRPr="00B801E9">
        <w:rPr>
          <w:rFonts w:ascii="Calibri" w:hAnsi="Calibri" w:cs="Calibri"/>
        </w:rPr>
        <w:t>m</w:t>
      </w:r>
      <w:r w:rsidRPr="00B801E9">
        <w:rPr>
          <w:rFonts w:ascii="Calibri" w:hAnsi="Calibri" w:cs="Calibri"/>
        </w:rPr>
        <w:t xml:space="preserve">icro-credentials </w:t>
      </w:r>
      <w:r w:rsidR="00557584" w:rsidRPr="00B801E9">
        <w:rPr>
          <w:rFonts w:ascii="Calibri" w:hAnsi="Calibri" w:cs="Calibri"/>
        </w:rPr>
        <w:t xml:space="preserve">approved </w:t>
      </w:r>
      <w:r w:rsidRPr="00B801E9">
        <w:rPr>
          <w:rFonts w:ascii="Calibri" w:hAnsi="Calibri" w:cs="Calibri"/>
        </w:rPr>
        <w:t>as part of a programme leading to a minor, special purpose or major award, allowing learners to accumulate credits incrementally toward a larger qualification.</w:t>
      </w:r>
    </w:p>
    <w:p w14:paraId="43F80076" w14:textId="02CF857B" w:rsidR="005F2698" w:rsidRPr="006607DF" w:rsidRDefault="005F2698" w:rsidP="006607DF">
      <w:pPr>
        <w:widowControl w:val="0"/>
        <w:autoSpaceDE w:val="0"/>
        <w:autoSpaceDN w:val="0"/>
        <w:jc w:val="both"/>
        <w:rPr>
          <w:rFonts w:ascii="Calibri" w:hAnsi="Calibri" w:cs="Calibri"/>
        </w:rPr>
      </w:pPr>
      <w:bookmarkStart w:id="14" w:name="Verification_and_Certification"/>
      <w:bookmarkStart w:id="15" w:name="_bookmark7"/>
      <w:bookmarkStart w:id="16" w:name="Format_of_Certification"/>
      <w:bookmarkStart w:id="17" w:name="_bookmark8"/>
      <w:bookmarkStart w:id="18" w:name="Development_and_Validation_Process"/>
      <w:bookmarkStart w:id="19" w:name="_bookmark9"/>
      <w:bookmarkStart w:id="20" w:name="Quality_Assurance"/>
      <w:bookmarkStart w:id="21" w:name="_bookmark10"/>
      <w:bookmarkStart w:id="22" w:name="Stacking_Framework"/>
      <w:bookmarkStart w:id="23" w:name="_bookmark11"/>
      <w:bookmarkEnd w:id="14"/>
      <w:bookmarkEnd w:id="15"/>
      <w:bookmarkEnd w:id="16"/>
      <w:bookmarkEnd w:id="17"/>
      <w:bookmarkEnd w:id="18"/>
      <w:bookmarkEnd w:id="19"/>
      <w:bookmarkEnd w:id="20"/>
      <w:bookmarkEnd w:id="21"/>
      <w:bookmarkEnd w:id="22"/>
      <w:bookmarkEnd w:id="23"/>
    </w:p>
    <w:p w14:paraId="112A2168" w14:textId="2A40F1CA" w:rsidR="00906D5C" w:rsidRPr="00AB7B2A" w:rsidRDefault="00906D5C" w:rsidP="00906D5C">
      <w:pPr>
        <w:jc w:val="both"/>
        <w:rPr>
          <w:rFonts w:ascii="Calibri" w:hAnsi="Calibri" w:cs="Calibri"/>
          <w:b/>
          <w:bCs/>
        </w:rPr>
      </w:pPr>
      <w:r w:rsidRPr="00AB7B2A">
        <w:rPr>
          <w:rFonts w:ascii="Calibri" w:hAnsi="Calibri" w:cs="Calibri"/>
          <w:b/>
          <w:bCs/>
        </w:rPr>
        <w:t>3.</w:t>
      </w:r>
      <w:r w:rsidR="006607DF">
        <w:rPr>
          <w:rFonts w:ascii="Calibri" w:hAnsi="Calibri" w:cs="Calibri"/>
          <w:b/>
          <w:bCs/>
        </w:rPr>
        <w:t>2</w:t>
      </w:r>
      <w:r w:rsidRPr="00AB7B2A">
        <w:rPr>
          <w:rFonts w:ascii="Calibri" w:hAnsi="Calibri" w:cs="Calibri"/>
          <w:b/>
          <w:bCs/>
        </w:rPr>
        <w:tab/>
        <w:t>Stacking Framework</w:t>
      </w:r>
    </w:p>
    <w:p w14:paraId="18504583" w14:textId="77777777" w:rsidR="00906D5C" w:rsidRPr="00531A46" w:rsidRDefault="00906D5C" w:rsidP="00906D5C">
      <w:pPr>
        <w:jc w:val="both"/>
        <w:rPr>
          <w:rFonts w:ascii="Calibri" w:hAnsi="Calibri" w:cs="Calibri"/>
          <w:sz w:val="22"/>
          <w:szCs w:val="22"/>
        </w:rPr>
      </w:pPr>
      <w:r w:rsidRPr="00531A46">
        <w:rPr>
          <w:rFonts w:ascii="Calibri" w:hAnsi="Calibri" w:cs="Calibri"/>
          <w:sz w:val="22"/>
          <w:szCs w:val="22"/>
        </w:rPr>
        <w:t>The stacking framework supports flexible pathways to minor, special purpose or major awards and includes the following criteria:</w:t>
      </w:r>
    </w:p>
    <w:p w14:paraId="5A8764F1" w14:textId="64BD9245" w:rsidR="00906D5C" w:rsidRPr="00C47413" w:rsidRDefault="00906D5C" w:rsidP="00C47413">
      <w:pPr>
        <w:pStyle w:val="ListParagraph"/>
        <w:widowControl w:val="0"/>
        <w:numPr>
          <w:ilvl w:val="0"/>
          <w:numId w:val="18"/>
        </w:numPr>
        <w:autoSpaceDE w:val="0"/>
        <w:autoSpaceDN w:val="0"/>
        <w:jc w:val="both"/>
        <w:rPr>
          <w:rFonts w:ascii="Calibri" w:hAnsi="Calibri" w:cs="Calibri"/>
        </w:rPr>
      </w:pPr>
      <w:r w:rsidRPr="00C47413">
        <w:rPr>
          <w:rFonts w:cstheme="minorHAnsi"/>
          <w:b/>
          <w:bCs/>
        </w:rPr>
        <w:t>Eligibility for Stacking:</w:t>
      </w:r>
      <w:r w:rsidRPr="00C47413">
        <w:rPr>
          <w:rFonts w:cstheme="minorHAnsi"/>
        </w:rPr>
        <w:t xml:space="preserve"> </w:t>
      </w:r>
      <w:r w:rsidR="00C47413" w:rsidRPr="00C47413">
        <w:rPr>
          <w:rFonts w:cstheme="minorHAnsi"/>
        </w:rPr>
        <w:t>m</w:t>
      </w:r>
      <w:r w:rsidRPr="00C47413">
        <w:rPr>
          <w:rFonts w:cstheme="minorHAnsi"/>
        </w:rPr>
        <w:t>icro-credentials at NFQ levels 7 – 9 may be stacked toward awards</w:t>
      </w:r>
      <w:r w:rsidR="00C47413" w:rsidRPr="00C47413">
        <w:rPr>
          <w:rFonts w:cstheme="minorHAnsi"/>
        </w:rPr>
        <w:t xml:space="preserve">. Stacking of University of Galway micro-credentials towards a full award will take place in a pre-designed stacked learning pathway as outlined in the </w:t>
      </w:r>
      <w:r w:rsidR="00C47413" w:rsidRPr="00C47413">
        <w:rPr>
          <w:rFonts w:ascii="Calibri" w:hAnsi="Calibri" w:cs="Calibri"/>
        </w:rPr>
        <w:t>University Curriculum Design and Management Policy (</w:t>
      </w:r>
      <w:r w:rsidR="00C47413" w:rsidRPr="00C47413">
        <w:rPr>
          <w:rFonts w:cstheme="minorHAnsi"/>
        </w:rPr>
        <w:t>QA050).</w:t>
      </w:r>
    </w:p>
    <w:p w14:paraId="17384DCA" w14:textId="6A870D7C" w:rsidR="00906D5C" w:rsidRPr="00531A46" w:rsidRDefault="00906D5C" w:rsidP="00906D5C">
      <w:pPr>
        <w:pStyle w:val="ListParagraph"/>
        <w:widowControl w:val="0"/>
        <w:numPr>
          <w:ilvl w:val="0"/>
          <w:numId w:val="13"/>
        </w:numPr>
        <w:autoSpaceDE w:val="0"/>
        <w:autoSpaceDN w:val="0"/>
        <w:spacing w:after="0" w:line="240" w:lineRule="auto"/>
        <w:contextualSpacing w:val="0"/>
        <w:jc w:val="both"/>
        <w:rPr>
          <w:rFonts w:ascii="Calibri" w:hAnsi="Calibri" w:cs="Calibri"/>
        </w:rPr>
      </w:pPr>
      <w:r w:rsidRPr="00531A46">
        <w:rPr>
          <w:rFonts w:ascii="Calibri" w:hAnsi="Calibri" w:cs="Calibri"/>
          <w:b/>
          <w:bCs/>
        </w:rPr>
        <w:t>Timeframe:</w:t>
      </w:r>
      <w:r w:rsidRPr="00531A46">
        <w:rPr>
          <w:rFonts w:ascii="Calibri" w:hAnsi="Calibri" w:cs="Calibri"/>
        </w:rPr>
        <w:t xml:space="preserve"> </w:t>
      </w:r>
      <w:r w:rsidR="00B673C7">
        <w:rPr>
          <w:rFonts w:ascii="Calibri" w:hAnsi="Calibri" w:cs="Calibri"/>
        </w:rPr>
        <w:t>m</w:t>
      </w:r>
      <w:r w:rsidRPr="00531A46">
        <w:rPr>
          <w:rFonts w:ascii="Calibri" w:hAnsi="Calibri" w:cs="Calibri"/>
        </w:rPr>
        <w:t xml:space="preserve">icro-credentials remain valid for stacking within a defined set period at the discretion of the Programme Board, usually between three and five years. Note applications outside this timeframe may be reviewed on a case-by-case basis. </w:t>
      </w:r>
    </w:p>
    <w:p w14:paraId="660D08DC" w14:textId="2EF9D9D3" w:rsidR="00906D5C" w:rsidRPr="00531A46" w:rsidRDefault="00906D5C" w:rsidP="00906D5C">
      <w:pPr>
        <w:pStyle w:val="ListParagraph"/>
        <w:widowControl w:val="0"/>
        <w:numPr>
          <w:ilvl w:val="0"/>
          <w:numId w:val="13"/>
        </w:numPr>
        <w:autoSpaceDE w:val="0"/>
        <w:autoSpaceDN w:val="0"/>
        <w:spacing w:after="0" w:line="240" w:lineRule="auto"/>
        <w:contextualSpacing w:val="0"/>
        <w:jc w:val="both"/>
        <w:rPr>
          <w:rFonts w:ascii="Calibri" w:hAnsi="Calibri" w:cs="Calibri"/>
        </w:rPr>
      </w:pPr>
      <w:r w:rsidRPr="00531A46">
        <w:rPr>
          <w:rFonts w:ascii="Calibri" w:hAnsi="Calibri" w:cs="Calibri"/>
          <w:b/>
          <w:bCs/>
        </w:rPr>
        <w:t>Pathway Options:</w:t>
      </w:r>
      <w:r w:rsidRPr="00531A46">
        <w:rPr>
          <w:rFonts w:ascii="Calibri" w:hAnsi="Calibri" w:cs="Calibri"/>
        </w:rPr>
        <w:t xml:space="preserve"> </w:t>
      </w:r>
      <w:r w:rsidR="00B673C7">
        <w:rPr>
          <w:rFonts w:ascii="Calibri" w:hAnsi="Calibri" w:cs="Calibri"/>
        </w:rPr>
        <w:t>p</w:t>
      </w:r>
      <w:r w:rsidRPr="00C47413">
        <w:rPr>
          <w:rFonts w:ascii="Calibri" w:hAnsi="Calibri" w:cs="Calibri"/>
        </w:rPr>
        <w:t xml:space="preserve">athways will be contingent upon </w:t>
      </w:r>
      <w:r w:rsidR="00C47413" w:rsidRPr="00C47413">
        <w:rPr>
          <w:rFonts w:ascii="Calibri" w:hAnsi="Calibri" w:cs="Calibri"/>
        </w:rPr>
        <w:t>pre-designed learning pathways</w:t>
      </w:r>
      <w:r w:rsidR="008974BF" w:rsidRPr="00C47413">
        <w:rPr>
          <w:rFonts w:ascii="Calibri" w:hAnsi="Calibri" w:cs="Calibri"/>
        </w:rPr>
        <w:t xml:space="preserve"> </w:t>
      </w:r>
      <w:r w:rsidRPr="00C47413">
        <w:rPr>
          <w:rFonts w:ascii="Calibri" w:hAnsi="Calibri" w:cs="Calibri"/>
        </w:rPr>
        <w:t xml:space="preserve">and may include mandatory core </w:t>
      </w:r>
      <w:r w:rsidR="008974BF" w:rsidRPr="00C47413">
        <w:rPr>
          <w:rFonts w:ascii="Calibri" w:hAnsi="Calibri" w:cs="Calibri"/>
        </w:rPr>
        <w:t>modules</w:t>
      </w:r>
      <w:r w:rsidRPr="00C47413">
        <w:rPr>
          <w:rFonts w:ascii="Calibri" w:hAnsi="Calibri" w:cs="Calibri"/>
        </w:rPr>
        <w:t xml:space="preserve">, optional </w:t>
      </w:r>
      <w:r w:rsidR="008974BF" w:rsidRPr="00C47413">
        <w:rPr>
          <w:rFonts w:ascii="Calibri" w:hAnsi="Calibri" w:cs="Calibri"/>
        </w:rPr>
        <w:t xml:space="preserve">modules </w:t>
      </w:r>
      <w:r w:rsidRPr="00C47413">
        <w:rPr>
          <w:rFonts w:ascii="Calibri" w:hAnsi="Calibri" w:cs="Calibri"/>
        </w:rPr>
        <w:t xml:space="preserve">or capstone </w:t>
      </w:r>
      <w:r w:rsidR="008974BF" w:rsidRPr="00C47413">
        <w:rPr>
          <w:rFonts w:ascii="Calibri" w:hAnsi="Calibri" w:cs="Calibri"/>
        </w:rPr>
        <w:t xml:space="preserve">modules </w:t>
      </w:r>
      <w:r w:rsidRPr="00C47413">
        <w:rPr>
          <w:rFonts w:ascii="Calibri" w:hAnsi="Calibri" w:cs="Calibri"/>
        </w:rPr>
        <w:t xml:space="preserve">from a menu of </w:t>
      </w:r>
      <w:r w:rsidR="00C47413" w:rsidRPr="00C47413">
        <w:rPr>
          <w:rFonts w:ascii="Calibri" w:hAnsi="Calibri" w:cs="Calibri"/>
        </w:rPr>
        <w:t>m</w:t>
      </w:r>
      <w:r w:rsidRPr="00C47413">
        <w:rPr>
          <w:rFonts w:ascii="Calibri" w:hAnsi="Calibri" w:cs="Calibri"/>
        </w:rPr>
        <w:t>icro-credentials, with a specified credits required for an award.</w:t>
      </w:r>
      <w:r w:rsidRPr="00531A46">
        <w:rPr>
          <w:rFonts w:ascii="Calibri" w:hAnsi="Calibri" w:cs="Calibri"/>
        </w:rPr>
        <w:t xml:space="preserve">  </w:t>
      </w:r>
    </w:p>
    <w:p w14:paraId="1D19CEE5" w14:textId="6E0AD351" w:rsidR="00906D5C" w:rsidRPr="00531A46" w:rsidRDefault="00906D5C" w:rsidP="00906D5C">
      <w:pPr>
        <w:pStyle w:val="ListParagraph"/>
        <w:widowControl w:val="0"/>
        <w:numPr>
          <w:ilvl w:val="0"/>
          <w:numId w:val="13"/>
        </w:numPr>
        <w:autoSpaceDE w:val="0"/>
        <w:autoSpaceDN w:val="0"/>
        <w:spacing w:after="0" w:line="240" w:lineRule="auto"/>
        <w:contextualSpacing w:val="0"/>
        <w:jc w:val="both"/>
        <w:rPr>
          <w:rFonts w:ascii="Calibri" w:hAnsi="Calibri" w:cs="Calibri"/>
        </w:rPr>
      </w:pPr>
      <w:r w:rsidRPr="00531A46">
        <w:rPr>
          <w:rFonts w:ascii="Calibri" w:hAnsi="Calibri" w:cs="Calibri"/>
          <w:b/>
          <w:bCs/>
        </w:rPr>
        <w:t>Inter-University Collaboration:</w:t>
      </w:r>
      <w:r w:rsidRPr="00531A46">
        <w:rPr>
          <w:rFonts w:ascii="Calibri" w:hAnsi="Calibri" w:cs="Calibri"/>
        </w:rPr>
        <w:t xml:space="preserve"> </w:t>
      </w:r>
      <w:r w:rsidR="00B673C7">
        <w:rPr>
          <w:rFonts w:ascii="Calibri" w:hAnsi="Calibri" w:cs="Calibri"/>
        </w:rPr>
        <w:t>p</w:t>
      </w:r>
      <w:r w:rsidRPr="00531A46">
        <w:rPr>
          <w:rFonts w:ascii="Calibri" w:hAnsi="Calibri" w:cs="Calibri"/>
        </w:rPr>
        <w:t xml:space="preserve">artnerships with IUA universities (e.g., UCC, UL, DCU, UCD, TCD, Maynooth) </w:t>
      </w:r>
      <w:r w:rsidR="006F1FDE">
        <w:rPr>
          <w:rFonts w:ascii="Calibri" w:hAnsi="Calibri" w:cs="Calibri"/>
        </w:rPr>
        <w:t xml:space="preserve">may </w:t>
      </w:r>
      <w:r w:rsidRPr="00531A46">
        <w:rPr>
          <w:rFonts w:ascii="Calibri" w:hAnsi="Calibri" w:cs="Calibri"/>
        </w:rPr>
        <w:t xml:space="preserve">allow stacking of </w:t>
      </w:r>
      <w:r w:rsidR="00C47413" w:rsidRPr="00C47413">
        <w:rPr>
          <w:rFonts w:ascii="Calibri" w:hAnsi="Calibri" w:cs="Calibri"/>
        </w:rPr>
        <w:t xml:space="preserve">micro-credentials </w:t>
      </w:r>
      <w:r w:rsidRPr="00531A46">
        <w:rPr>
          <w:rFonts w:ascii="Calibri" w:hAnsi="Calibri" w:cs="Calibri"/>
        </w:rPr>
        <w:t xml:space="preserve">cross institutions, with clear identification of partner-hosted </w:t>
      </w:r>
      <w:r w:rsidR="00EC4D94">
        <w:rPr>
          <w:rFonts w:ascii="Calibri" w:hAnsi="Calibri" w:cs="Calibri"/>
        </w:rPr>
        <w:t>modules</w:t>
      </w:r>
      <w:r w:rsidRPr="00531A46">
        <w:rPr>
          <w:rFonts w:ascii="Calibri" w:hAnsi="Calibri" w:cs="Calibri"/>
        </w:rPr>
        <w:t xml:space="preserve"> in the curriculum management system, governed by policy QA246</w:t>
      </w:r>
      <w:r w:rsidR="00B673C7">
        <w:rPr>
          <w:rFonts w:ascii="Calibri" w:hAnsi="Calibri" w:cs="Calibri"/>
        </w:rPr>
        <w:t xml:space="preserve"> (Collaborative Partnerships)</w:t>
      </w:r>
      <w:r w:rsidRPr="00531A46">
        <w:rPr>
          <w:rFonts w:ascii="Calibri" w:hAnsi="Calibri" w:cs="Calibri"/>
        </w:rPr>
        <w:t>. Memoranda of Understanding (</w:t>
      </w:r>
      <w:proofErr w:type="spellStart"/>
      <w:r w:rsidRPr="00531A46">
        <w:rPr>
          <w:rFonts w:ascii="Calibri" w:hAnsi="Calibri" w:cs="Calibri"/>
        </w:rPr>
        <w:t>MoUs</w:t>
      </w:r>
      <w:proofErr w:type="spellEnd"/>
      <w:r w:rsidRPr="00531A46">
        <w:rPr>
          <w:rFonts w:ascii="Calibri" w:hAnsi="Calibri" w:cs="Calibri"/>
        </w:rPr>
        <w:t xml:space="preserve">) govern such collaborations. </w:t>
      </w:r>
    </w:p>
    <w:p w14:paraId="0E3A0326" w14:textId="14106BBC" w:rsidR="00906D5C" w:rsidRDefault="00906D5C" w:rsidP="00906D5C">
      <w:pPr>
        <w:pStyle w:val="ListParagraph"/>
        <w:widowControl w:val="0"/>
        <w:numPr>
          <w:ilvl w:val="0"/>
          <w:numId w:val="13"/>
        </w:numPr>
        <w:autoSpaceDE w:val="0"/>
        <w:autoSpaceDN w:val="0"/>
        <w:spacing w:after="0" w:line="240" w:lineRule="auto"/>
        <w:contextualSpacing w:val="0"/>
        <w:jc w:val="both"/>
        <w:rPr>
          <w:rFonts w:ascii="Calibri" w:hAnsi="Calibri" w:cs="Calibri"/>
        </w:rPr>
      </w:pPr>
      <w:r w:rsidRPr="00C47413">
        <w:rPr>
          <w:rFonts w:ascii="Calibri" w:hAnsi="Calibri" w:cs="Calibri"/>
          <w:b/>
          <w:bCs/>
        </w:rPr>
        <w:t>RPL Integration:</w:t>
      </w:r>
      <w:r w:rsidRPr="00C47413">
        <w:rPr>
          <w:rFonts w:ascii="Calibri" w:hAnsi="Calibri" w:cs="Calibri"/>
        </w:rPr>
        <w:t xml:space="preserve"> </w:t>
      </w:r>
      <w:r w:rsidR="00B673C7">
        <w:rPr>
          <w:rFonts w:ascii="Calibri" w:hAnsi="Calibri" w:cs="Calibri"/>
        </w:rPr>
        <w:t>o</w:t>
      </w:r>
      <w:r w:rsidR="003647A5" w:rsidRPr="00C47413">
        <w:rPr>
          <w:rFonts w:ascii="Calibri" w:hAnsi="Calibri" w:cs="Calibri"/>
        </w:rPr>
        <w:t>utside of stack</w:t>
      </w:r>
      <w:r w:rsidR="00826886" w:rsidRPr="00C47413">
        <w:rPr>
          <w:rFonts w:ascii="Calibri" w:hAnsi="Calibri" w:cs="Calibri"/>
        </w:rPr>
        <w:t>ed learning</w:t>
      </w:r>
      <w:r w:rsidR="003647A5" w:rsidRPr="00C47413">
        <w:rPr>
          <w:rFonts w:ascii="Calibri" w:hAnsi="Calibri" w:cs="Calibri"/>
        </w:rPr>
        <w:t xml:space="preserve"> pathways</w:t>
      </w:r>
      <w:r w:rsidR="00B673C7">
        <w:rPr>
          <w:rFonts w:ascii="Calibri" w:hAnsi="Calibri" w:cs="Calibri"/>
        </w:rPr>
        <w:t>,</w:t>
      </w:r>
      <w:r w:rsidR="003647A5" w:rsidRPr="00C47413">
        <w:rPr>
          <w:rFonts w:ascii="Calibri" w:hAnsi="Calibri" w:cs="Calibri"/>
        </w:rPr>
        <w:t xml:space="preserve"> </w:t>
      </w:r>
      <w:r w:rsidR="00557584" w:rsidRPr="00C47413">
        <w:rPr>
          <w:rFonts w:ascii="Calibri" w:hAnsi="Calibri" w:cs="Calibri"/>
        </w:rPr>
        <w:t>standalone</w:t>
      </w:r>
      <w:r w:rsidRPr="00C47413">
        <w:rPr>
          <w:rFonts w:ascii="Calibri" w:hAnsi="Calibri" w:cs="Calibri"/>
        </w:rPr>
        <w:t xml:space="preserve"> </w:t>
      </w:r>
      <w:r w:rsidR="00B673C7">
        <w:rPr>
          <w:rFonts w:ascii="Calibri" w:hAnsi="Calibri" w:cs="Calibri"/>
        </w:rPr>
        <w:t>m</w:t>
      </w:r>
      <w:r w:rsidRPr="00C47413">
        <w:rPr>
          <w:rFonts w:ascii="Calibri" w:hAnsi="Calibri" w:cs="Calibri"/>
        </w:rPr>
        <w:t>icro-credentials (5-10 ECTS) may contribute to awards via RPL, as per QA222</w:t>
      </w:r>
      <w:r w:rsidR="00EC4D94">
        <w:rPr>
          <w:rFonts w:ascii="Calibri" w:hAnsi="Calibri" w:cs="Calibri"/>
        </w:rPr>
        <w:t xml:space="preserve"> - RPL Policy</w:t>
      </w:r>
      <w:r w:rsidR="00C47413" w:rsidRPr="00C47413">
        <w:rPr>
          <w:rFonts w:ascii="Calibri" w:hAnsi="Calibri" w:cs="Calibri"/>
        </w:rPr>
        <w:t>.</w:t>
      </w:r>
    </w:p>
    <w:p w14:paraId="047E7BFD" w14:textId="77777777" w:rsidR="00C47413" w:rsidRPr="00C47413" w:rsidRDefault="00C47413" w:rsidP="00C47413">
      <w:pPr>
        <w:pStyle w:val="ListParagraph"/>
        <w:widowControl w:val="0"/>
        <w:autoSpaceDE w:val="0"/>
        <w:autoSpaceDN w:val="0"/>
        <w:spacing w:after="0" w:line="240" w:lineRule="auto"/>
        <w:contextualSpacing w:val="0"/>
        <w:jc w:val="both"/>
        <w:rPr>
          <w:rFonts w:ascii="Calibri" w:hAnsi="Calibri" w:cs="Calibri"/>
        </w:rPr>
      </w:pPr>
    </w:p>
    <w:p w14:paraId="0ADFC02A" w14:textId="77777777" w:rsidR="008D301B" w:rsidRPr="00531A46" w:rsidRDefault="008D301B" w:rsidP="00906D5C">
      <w:pPr>
        <w:jc w:val="both"/>
        <w:rPr>
          <w:rFonts w:ascii="Calibri" w:hAnsi="Calibri" w:cs="Calibri"/>
          <w:sz w:val="22"/>
          <w:szCs w:val="22"/>
        </w:rPr>
      </w:pPr>
    </w:p>
    <w:p w14:paraId="33C99D65" w14:textId="16272124" w:rsidR="00095686" w:rsidRPr="00C47413" w:rsidRDefault="622C80C4" w:rsidP="41DE7C60">
      <w:pPr>
        <w:jc w:val="both"/>
        <w:rPr>
          <w:rFonts w:ascii="Calibri" w:hAnsi="Calibri" w:cs="Calibri"/>
          <w:b/>
          <w:bCs/>
        </w:rPr>
      </w:pPr>
      <w:r w:rsidRPr="41DE7C60">
        <w:rPr>
          <w:rFonts w:ascii="Calibri" w:hAnsi="Calibri" w:cs="Calibri"/>
          <w:b/>
          <w:bCs/>
        </w:rPr>
        <w:t xml:space="preserve">3.3 </w:t>
      </w:r>
      <w:r w:rsidR="008D301B" w:rsidRPr="41DE7C60">
        <w:rPr>
          <w:rFonts w:ascii="Calibri" w:hAnsi="Calibri" w:cs="Calibri"/>
          <w:b/>
          <w:bCs/>
        </w:rPr>
        <w:t>Validation</w:t>
      </w:r>
    </w:p>
    <w:p w14:paraId="46437A1D" w14:textId="55B2CB25" w:rsidR="008D301B" w:rsidRPr="008D301B" w:rsidRDefault="008D301B" w:rsidP="008D301B">
      <w:pPr>
        <w:jc w:val="both"/>
        <w:rPr>
          <w:rFonts w:ascii="Calibri" w:hAnsi="Calibri" w:cs="Calibri"/>
        </w:rPr>
      </w:pPr>
      <w:r w:rsidRPr="00C47413">
        <w:rPr>
          <w:rStyle w:val="normaltextrun"/>
          <w:rFonts w:ascii="Calibri" w:hAnsi="Calibri" w:cs="Calibri"/>
          <w:b/>
          <w:bCs/>
          <w:sz w:val="22"/>
          <w:szCs w:val="22"/>
          <w:lang w:val="en-US"/>
        </w:rPr>
        <w:t>Micro-credential Repository:</w:t>
      </w:r>
      <w:r w:rsidRPr="00C47413">
        <w:rPr>
          <w:rStyle w:val="apple-converted-space"/>
          <w:rFonts w:ascii="Calibri" w:hAnsi="Calibri" w:cs="Calibri"/>
          <w:sz w:val="22"/>
          <w:szCs w:val="22"/>
          <w:lang w:val="en-US"/>
        </w:rPr>
        <w:t> </w:t>
      </w:r>
      <w:r w:rsidRPr="00C47413">
        <w:rPr>
          <w:rStyle w:val="normaltextrun"/>
          <w:rFonts w:ascii="Calibri" w:hAnsi="Calibri" w:cs="Calibri"/>
          <w:sz w:val="22"/>
          <w:szCs w:val="22"/>
          <w:lang w:val="en-US"/>
        </w:rPr>
        <w:t>College</w:t>
      </w:r>
      <w:r w:rsidRPr="00C47413">
        <w:rPr>
          <w:rStyle w:val="apple-converted-space"/>
          <w:rFonts w:ascii="Calibri" w:hAnsi="Calibri" w:cs="Calibri"/>
          <w:sz w:val="22"/>
          <w:szCs w:val="22"/>
          <w:lang w:val="en-US"/>
        </w:rPr>
        <w:t> </w:t>
      </w:r>
      <w:r w:rsidRPr="00C47413">
        <w:rPr>
          <w:rStyle w:val="normaltextrun"/>
          <w:rFonts w:ascii="Calibri" w:hAnsi="Calibri" w:cs="Calibri"/>
          <w:sz w:val="22"/>
          <w:szCs w:val="22"/>
          <w:lang w:val="en-US"/>
        </w:rPr>
        <w:t>Offices</w:t>
      </w:r>
      <w:r w:rsidRPr="00C47413">
        <w:rPr>
          <w:rStyle w:val="apple-converted-space"/>
          <w:rFonts w:ascii="Calibri" w:hAnsi="Calibri" w:cs="Calibri"/>
          <w:sz w:val="22"/>
          <w:szCs w:val="22"/>
          <w:lang w:val="en-US"/>
        </w:rPr>
        <w:t> </w:t>
      </w:r>
      <w:r w:rsidRPr="00C47413">
        <w:rPr>
          <w:rStyle w:val="normaltextrun"/>
          <w:rFonts w:ascii="Calibri" w:hAnsi="Calibri" w:cs="Calibri"/>
          <w:sz w:val="22"/>
          <w:szCs w:val="22"/>
          <w:lang w:val="en-US"/>
        </w:rPr>
        <w:t>are required to</w:t>
      </w:r>
      <w:r w:rsidRPr="00C47413">
        <w:rPr>
          <w:rStyle w:val="apple-converted-space"/>
          <w:rFonts w:ascii="Calibri" w:hAnsi="Calibri" w:cs="Calibri"/>
          <w:sz w:val="22"/>
          <w:szCs w:val="22"/>
          <w:lang w:val="en-US"/>
        </w:rPr>
        <w:t> </w:t>
      </w:r>
      <w:r w:rsidRPr="00C47413">
        <w:rPr>
          <w:rStyle w:val="normaltextrun"/>
          <w:rFonts w:ascii="Calibri" w:hAnsi="Calibri" w:cs="Calibri"/>
          <w:sz w:val="22"/>
          <w:szCs w:val="22"/>
          <w:lang w:val="en-US"/>
        </w:rPr>
        <w:t>submit</w:t>
      </w:r>
      <w:r w:rsidRPr="00C47413">
        <w:rPr>
          <w:rStyle w:val="apple-converted-space"/>
          <w:rFonts w:ascii="Calibri" w:hAnsi="Calibri" w:cs="Calibri"/>
          <w:sz w:val="22"/>
          <w:szCs w:val="22"/>
          <w:lang w:val="en-US"/>
        </w:rPr>
        <w:t> </w:t>
      </w:r>
      <w:r w:rsidRPr="00C47413">
        <w:rPr>
          <w:rStyle w:val="normaltextrun"/>
          <w:rFonts w:ascii="Calibri" w:hAnsi="Calibri" w:cs="Calibri"/>
          <w:sz w:val="22"/>
          <w:szCs w:val="22"/>
          <w:lang w:val="en-US"/>
        </w:rPr>
        <w:t>a</w:t>
      </w:r>
      <w:r w:rsidRPr="00C47413">
        <w:rPr>
          <w:rStyle w:val="apple-converted-space"/>
          <w:rFonts w:ascii="Calibri" w:hAnsi="Calibri" w:cs="Calibri"/>
          <w:sz w:val="22"/>
          <w:szCs w:val="22"/>
          <w:lang w:val="en-US"/>
        </w:rPr>
        <w:t> </w:t>
      </w:r>
      <w:r w:rsidRPr="00C47413">
        <w:rPr>
          <w:rStyle w:val="normaltextrun"/>
          <w:rFonts w:ascii="Calibri" w:hAnsi="Calibri" w:cs="Calibri"/>
          <w:sz w:val="22"/>
          <w:szCs w:val="22"/>
          <w:lang w:val="en-US"/>
        </w:rPr>
        <w:t>list of micro-credentials approved at School and College level on an annual basis (March), to the</w:t>
      </w:r>
      <w:r w:rsidRPr="00C47413">
        <w:rPr>
          <w:rStyle w:val="apple-converted-space"/>
          <w:rFonts w:ascii="Calibri" w:hAnsi="Calibri" w:cs="Calibri"/>
          <w:sz w:val="22"/>
          <w:szCs w:val="22"/>
          <w:lang w:val="en-US"/>
        </w:rPr>
        <w:t> </w:t>
      </w:r>
      <w:r w:rsidRPr="00C47413">
        <w:rPr>
          <w:rStyle w:val="normaltextrun"/>
          <w:rFonts w:ascii="Calibri" w:hAnsi="Calibri" w:cs="Calibri"/>
          <w:sz w:val="22"/>
          <w:szCs w:val="22"/>
          <w:lang w:val="en-US"/>
        </w:rPr>
        <w:t>University Curriculum</w:t>
      </w:r>
      <w:r w:rsidR="00C47413" w:rsidRPr="00C47413">
        <w:rPr>
          <w:rStyle w:val="normaltextrun"/>
          <w:rFonts w:ascii="Calibri" w:hAnsi="Calibri" w:cs="Calibri"/>
          <w:sz w:val="22"/>
          <w:szCs w:val="22"/>
          <w:lang w:val="en-US"/>
        </w:rPr>
        <w:t xml:space="preserve"> and </w:t>
      </w:r>
      <w:proofErr w:type="spellStart"/>
      <w:r w:rsidR="00C47413" w:rsidRPr="00C47413">
        <w:rPr>
          <w:rStyle w:val="normaltextrun"/>
          <w:rFonts w:ascii="Calibri" w:hAnsi="Calibri" w:cs="Calibri"/>
          <w:sz w:val="22"/>
          <w:szCs w:val="22"/>
          <w:lang w:val="en-US"/>
        </w:rPr>
        <w:t>Programme</w:t>
      </w:r>
      <w:proofErr w:type="spellEnd"/>
      <w:r w:rsidR="00C47413" w:rsidRPr="00C47413">
        <w:rPr>
          <w:rStyle w:val="normaltextrun"/>
          <w:rFonts w:ascii="Calibri" w:hAnsi="Calibri" w:cs="Calibri"/>
          <w:sz w:val="22"/>
          <w:szCs w:val="22"/>
          <w:lang w:val="en-US"/>
        </w:rPr>
        <w:t xml:space="preserve"> Board Committee.</w:t>
      </w:r>
    </w:p>
    <w:p w14:paraId="21FBB69A" w14:textId="77777777" w:rsidR="00EE1136" w:rsidRDefault="00EE1136" w:rsidP="00906D5C">
      <w:pPr>
        <w:jc w:val="both"/>
        <w:rPr>
          <w:rFonts w:ascii="Calibri" w:hAnsi="Calibri" w:cs="Calibri"/>
        </w:rPr>
      </w:pPr>
    </w:p>
    <w:p w14:paraId="40862BCB" w14:textId="55EE9498" w:rsidR="008D301B" w:rsidRDefault="008D301B" w:rsidP="41DE7C60">
      <w:pPr>
        <w:jc w:val="both"/>
        <w:rPr>
          <w:rFonts w:ascii="Calibri" w:hAnsi="Calibri" w:cs="Calibri"/>
        </w:rPr>
      </w:pPr>
    </w:p>
    <w:p w14:paraId="1A0889F2" w14:textId="77777777" w:rsidR="008D301B" w:rsidRDefault="008D301B" w:rsidP="00906D5C">
      <w:pPr>
        <w:jc w:val="both"/>
        <w:rPr>
          <w:rFonts w:ascii="Calibri" w:hAnsi="Calibri" w:cs="Calibri"/>
        </w:rPr>
      </w:pPr>
    </w:p>
    <w:p w14:paraId="6C9EC031" w14:textId="77777777" w:rsidR="006B5C56" w:rsidRDefault="006B5C56" w:rsidP="00906D5C">
      <w:pPr>
        <w:jc w:val="both"/>
        <w:rPr>
          <w:rFonts w:ascii="Calibri" w:hAnsi="Calibri" w:cs="Calibri"/>
        </w:rPr>
      </w:pPr>
    </w:p>
    <w:p w14:paraId="3189DFAF" w14:textId="77777777" w:rsidR="006B5C56" w:rsidRDefault="006B5C56" w:rsidP="00906D5C">
      <w:pPr>
        <w:jc w:val="both"/>
        <w:rPr>
          <w:rFonts w:ascii="Calibri" w:hAnsi="Calibri" w:cs="Calibri"/>
        </w:rPr>
      </w:pPr>
    </w:p>
    <w:p w14:paraId="54EF9315" w14:textId="77777777" w:rsidR="006B5C56" w:rsidRDefault="006B5C56" w:rsidP="00906D5C">
      <w:pPr>
        <w:jc w:val="both"/>
        <w:rPr>
          <w:rFonts w:ascii="Calibri" w:hAnsi="Calibri" w:cs="Calibri"/>
        </w:rPr>
      </w:pPr>
    </w:p>
    <w:p w14:paraId="10AB4A41" w14:textId="77777777" w:rsidR="006B5C56" w:rsidRDefault="006B5C56" w:rsidP="00906D5C">
      <w:pPr>
        <w:jc w:val="both"/>
        <w:rPr>
          <w:rFonts w:ascii="Calibri" w:hAnsi="Calibri" w:cs="Calibri"/>
        </w:rPr>
      </w:pPr>
    </w:p>
    <w:p w14:paraId="0AB1B8CC" w14:textId="77777777" w:rsidR="006B5C56" w:rsidRDefault="006B5C56" w:rsidP="00906D5C">
      <w:pPr>
        <w:jc w:val="both"/>
        <w:rPr>
          <w:rFonts w:ascii="Calibri" w:hAnsi="Calibri" w:cs="Calibri"/>
        </w:rPr>
      </w:pPr>
    </w:p>
    <w:p w14:paraId="4791FFA4" w14:textId="77777777" w:rsidR="006B5C56" w:rsidRDefault="006B5C56" w:rsidP="00906D5C">
      <w:pPr>
        <w:jc w:val="both"/>
        <w:rPr>
          <w:rFonts w:ascii="Calibri" w:hAnsi="Calibri" w:cs="Calibri"/>
        </w:rPr>
      </w:pPr>
    </w:p>
    <w:p w14:paraId="3FFE9F1B" w14:textId="77777777" w:rsidR="006B5C56" w:rsidRDefault="006B5C56" w:rsidP="00906D5C">
      <w:pPr>
        <w:jc w:val="both"/>
        <w:rPr>
          <w:rFonts w:ascii="Calibri" w:hAnsi="Calibri" w:cs="Calibri"/>
        </w:rPr>
      </w:pPr>
    </w:p>
    <w:p w14:paraId="4DF95573" w14:textId="77777777" w:rsidR="006B5C56" w:rsidRDefault="006B5C56" w:rsidP="00906D5C">
      <w:pPr>
        <w:jc w:val="both"/>
        <w:rPr>
          <w:rFonts w:ascii="Calibri" w:hAnsi="Calibri" w:cs="Calibri"/>
        </w:rPr>
      </w:pPr>
    </w:p>
    <w:p w14:paraId="25052DF1" w14:textId="77777777" w:rsidR="006B5C56" w:rsidRPr="00AB7B2A" w:rsidRDefault="006B5C56" w:rsidP="00906D5C">
      <w:pPr>
        <w:jc w:val="both"/>
        <w:rPr>
          <w:rFonts w:ascii="Calibri" w:hAnsi="Calibri" w:cs="Calibri"/>
        </w:rPr>
      </w:pPr>
    </w:p>
    <w:p w14:paraId="6D0CA340" w14:textId="18889A18" w:rsidR="006607DF" w:rsidRPr="00AB7B2A" w:rsidRDefault="00906D5C" w:rsidP="00906D5C">
      <w:pPr>
        <w:jc w:val="both"/>
        <w:rPr>
          <w:rFonts w:ascii="Calibri" w:hAnsi="Calibri" w:cs="Calibri"/>
          <w:b/>
          <w:bCs/>
        </w:rPr>
      </w:pPr>
      <w:r w:rsidRPr="00AB7B2A">
        <w:rPr>
          <w:rFonts w:ascii="Calibri" w:hAnsi="Calibri" w:cs="Calibri"/>
          <w:b/>
          <w:bCs/>
        </w:rPr>
        <w:lastRenderedPageBreak/>
        <w:t>4.0 Roles and Responsibilities</w:t>
      </w:r>
    </w:p>
    <w:p w14:paraId="0E6ADF45" w14:textId="77777777" w:rsidR="00906D5C" w:rsidRPr="00906D5C" w:rsidRDefault="00906D5C" w:rsidP="006607DF">
      <w:pPr>
        <w:jc w:val="both"/>
        <w:rPr>
          <w:rFonts w:eastAsiaTheme="minorEastAsia" w:cstheme="minorHAnsi"/>
          <w:b/>
          <w:bCs/>
        </w:rPr>
      </w:pPr>
    </w:p>
    <w:tbl>
      <w:tblPr>
        <w:tblStyle w:val="TableGrid"/>
        <w:tblW w:w="9345" w:type="dxa"/>
        <w:tblLook w:val="04A0" w:firstRow="1" w:lastRow="0" w:firstColumn="1" w:lastColumn="0" w:noHBand="0" w:noVBand="1"/>
      </w:tblPr>
      <w:tblGrid>
        <w:gridCol w:w="4710"/>
        <w:gridCol w:w="4635"/>
      </w:tblGrid>
      <w:tr w:rsidR="00906D5C" w:rsidRPr="009F5A7B" w14:paraId="1883F343" w14:textId="77777777" w:rsidTr="41DE7C60">
        <w:trPr>
          <w:trHeight w:val="407"/>
        </w:trPr>
        <w:tc>
          <w:tcPr>
            <w:tcW w:w="4710" w:type="dxa"/>
            <w:shd w:val="clear" w:color="auto" w:fill="A80050"/>
          </w:tcPr>
          <w:p w14:paraId="350409F2" w14:textId="77777777" w:rsidR="00906D5C" w:rsidRPr="00531A46" w:rsidRDefault="00906D5C">
            <w:pPr>
              <w:rPr>
                <w:rFonts w:cstheme="minorHAnsi"/>
                <w:color w:val="FFFFFF" w:themeColor="background1"/>
              </w:rPr>
            </w:pPr>
            <w:r w:rsidRPr="00531A46">
              <w:rPr>
                <w:rFonts w:cstheme="minorHAnsi"/>
                <w:b/>
                <w:color w:val="FFFFFF" w:themeColor="background1"/>
              </w:rPr>
              <w:t>Name</w:t>
            </w:r>
            <w:r w:rsidRPr="00531A46">
              <w:rPr>
                <w:rFonts w:cstheme="minorHAnsi"/>
                <w:color w:val="FFFFFF" w:themeColor="background1"/>
              </w:rPr>
              <w:t xml:space="preserve"> (Office or position)</w:t>
            </w:r>
          </w:p>
        </w:tc>
        <w:tc>
          <w:tcPr>
            <w:tcW w:w="4635" w:type="dxa"/>
          </w:tcPr>
          <w:p w14:paraId="76FE655F" w14:textId="77777777" w:rsidR="00906D5C" w:rsidRPr="00531A46" w:rsidRDefault="00906D5C">
            <w:pPr>
              <w:rPr>
                <w:rFonts w:cstheme="minorHAnsi"/>
              </w:rPr>
            </w:pPr>
            <w:r w:rsidRPr="00531A46">
              <w:rPr>
                <w:rFonts w:cstheme="minorHAnsi"/>
                <w:b/>
              </w:rPr>
              <w:t xml:space="preserve">Responsibility </w:t>
            </w:r>
          </w:p>
        </w:tc>
      </w:tr>
      <w:tr w:rsidR="00906D5C" w:rsidRPr="009F5A7B" w14:paraId="46A27112" w14:textId="77777777" w:rsidTr="41DE7C60">
        <w:trPr>
          <w:trHeight w:val="385"/>
        </w:trPr>
        <w:tc>
          <w:tcPr>
            <w:tcW w:w="4710" w:type="dxa"/>
            <w:shd w:val="clear" w:color="auto" w:fill="A80050"/>
          </w:tcPr>
          <w:p w14:paraId="19180DA9" w14:textId="6D03AAD6" w:rsidR="00906D5C" w:rsidRPr="00531A46" w:rsidRDefault="00906D5C">
            <w:pPr>
              <w:rPr>
                <w:rFonts w:cstheme="minorHAnsi"/>
                <w:color w:val="FFFFFF" w:themeColor="background1"/>
              </w:rPr>
            </w:pPr>
            <w:r w:rsidRPr="00531A46">
              <w:rPr>
                <w:b/>
                <w:bCs/>
              </w:rPr>
              <w:t>Deputy President and Registrar</w:t>
            </w:r>
          </w:p>
        </w:tc>
        <w:tc>
          <w:tcPr>
            <w:tcW w:w="4635" w:type="dxa"/>
          </w:tcPr>
          <w:p w14:paraId="4AD0C856" w14:textId="77777777" w:rsidR="00906D5C" w:rsidRPr="00531A46" w:rsidRDefault="00906D5C">
            <w:pPr>
              <w:rPr>
                <w:rFonts w:cstheme="minorHAnsi"/>
              </w:rPr>
            </w:pPr>
            <w:r w:rsidRPr="00531A46">
              <w:rPr>
                <w:rFonts w:cstheme="minorHAnsi"/>
              </w:rPr>
              <w:t>Policy Owner</w:t>
            </w:r>
          </w:p>
        </w:tc>
      </w:tr>
      <w:tr w:rsidR="00906D5C" w:rsidRPr="009F5A7B" w14:paraId="7252BD73" w14:textId="77777777" w:rsidTr="41DE7C60">
        <w:trPr>
          <w:trHeight w:val="385"/>
        </w:trPr>
        <w:tc>
          <w:tcPr>
            <w:tcW w:w="4710" w:type="dxa"/>
            <w:shd w:val="clear" w:color="auto" w:fill="A80050"/>
          </w:tcPr>
          <w:p w14:paraId="65A1A472" w14:textId="4D9B9CE9" w:rsidR="00906D5C" w:rsidRPr="00531A46" w:rsidRDefault="6CB077BB" w:rsidP="41DE7C60">
            <w:pPr>
              <w:rPr>
                <w:b/>
                <w:bCs/>
              </w:rPr>
            </w:pPr>
            <w:r w:rsidRPr="41DE7C60">
              <w:rPr>
                <w:b/>
                <w:bCs/>
              </w:rPr>
              <w:t>Centre for Adult Learning and Professional Development in association with Office of Deputy President and Registrar</w:t>
            </w:r>
          </w:p>
          <w:p w14:paraId="60D8939B" w14:textId="3FECCEBF" w:rsidR="00906D5C" w:rsidRPr="00531A46" w:rsidRDefault="00906D5C" w:rsidP="41DE7C60">
            <w:pPr>
              <w:rPr>
                <w:b/>
                <w:bCs/>
              </w:rPr>
            </w:pPr>
          </w:p>
        </w:tc>
        <w:tc>
          <w:tcPr>
            <w:tcW w:w="4635" w:type="dxa"/>
          </w:tcPr>
          <w:p w14:paraId="51BA60D8" w14:textId="1DFEE977" w:rsidR="00906D5C" w:rsidRPr="00531A46" w:rsidRDefault="68F14FC9" w:rsidP="41DE7C60">
            <w:pPr>
              <w:rPr>
                <w:color w:val="FFFFFF" w:themeColor="background1"/>
              </w:rPr>
            </w:pPr>
            <w:r>
              <w:t>Revisions and Updates to Policy</w:t>
            </w:r>
          </w:p>
          <w:p w14:paraId="6FA399DE" w14:textId="38B3A77A" w:rsidR="00906D5C" w:rsidRPr="00531A46" w:rsidRDefault="00906D5C" w:rsidP="41DE7C60"/>
        </w:tc>
      </w:tr>
      <w:tr w:rsidR="00906D5C" w:rsidRPr="009F5A7B" w14:paraId="30B3EFF5" w14:textId="77777777" w:rsidTr="41DE7C60">
        <w:trPr>
          <w:trHeight w:val="407"/>
        </w:trPr>
        <w:tc>
          <w:tcPr>
            <w:tcW w:w="4710" w:type="dxa"/>
            <w:shd w:val="clear" w:color="auto" w:fill="A80050"/>
          </w:tcPr>
          <w:p w14:paraId="6B3AE2E1" w14:textId="409C20A8" w:rsidR="00906D5C" w:rsidRPr="00531A46" w:rsidRDefault="00906D5C" w:rsidP="41DE7C60">
            <w:pPr>
              <w:rPr>
                <w:color w:val="FFFFFF" w:themeColor="background1"/>
              </w:rPr>
            </w:pPr>
            <w:r w:rsidRPr="41DE7C60">
              <w:rPr>
                <w:b/>
                <w:bCs/>
              </w:rPr>
              <w:t>Centre for Adult Learning and Professional Development</w:t>
            </w:r>
          </w:p>
        </w:tc>
        <w:tc>
          <w:tcPr>
            <w:tcW w:w="4635" w:type="dxa"/>
          </w:tcPr>
          <w:p w14:paraId="53C73C90" w14:textId="77777777" w:rsidR="00906D5C" w:rsidRPr="00531A46" w:rsidRDefault="00906D5C" w:rsidP="00906D5C">
            <w:pPr>
              <w:pStyle w:val="Default"/>
              <w:rPr>
                <w:color w:val="auto"/>
              </w:rPr>
            </w:pPr>
            <w:r w:rsidRPr="00531A46">
              <w:rPr>
                <w:color w:val="auto"/>
              </w:rPr>
              <w:t xml:space="preserve">Management of Micro-credentials portfolio </w:t>
            </w:r>
          </w:p>
          <w:p w14:paraId="5E7D6D9A" w14:textId="24E6E36C" w:rsidR="00906D5C" w:rsidRPr="00531A46" w:rsidRDefault="00906D5C" w:rsidP="00906D5C">
            <w:r>
              <w:t>Marketing and Recruitment Activities</w:t>
            </w:r>
          </w:p>
          <w:p w14:paraId="4D1EC68D" w14:textId="507D8605" w:rsidR="00906D5C" w:rsidRPr="00531A46" w:rsidRDefault="00906D5C" w:rsidP="41DE7C60"/>
        </w:tc>
      </w:tr>
      <w:tr w:rsidR="00906D5C" w:rsidRPr="009F5A7B" w14:paraId="5F621B91" w14:textId="77777777" w:rsidTr="41DE7C60">
        <w:trPr>
          <w:trHeight w:val="407"/>
        </w:trPr>
        <w:tc>
          <w:tcPr>
            <w:tcW w:w="4710" w:type="dxa"/>
            <w:shd w:val="clear" w:color="auto" w:fill="A80050"/>
          </w:tcPr>
          <w:p w14:paraId="02095097" w14:textId="3D07BA34" w:rsidR="00906D5C" w:rsidRPr="00531A46" w:rsidRDefault="00906D5C" w:rsidP="00906D5C">
            <w:pPr>
              <w:rPr>
                <w:rFonts w:cstheme="minorHAnsi"/>
                <w:color w:val="FFFFFF" w:themeColor="background1"/>
              </w:rPr>
            </w:pPr>
            <w:r w:rsidRPr="00531A46">
              <w:rPr>
                <w:b/>
                <w:bCs/>
              </w:rPr>
              <w:t>Programme Board</w:t>
            </w:r>
          </w:p>
        </w:tc>
        <w:tc>
          <w:tcPr>
            <w:tcW w:w="4635" w:type="dxa"/>
          </w:tcPr>
          <w:p w14:paraId="3A656861" w14:textId="4C493DF3" w:rsidR="00906D5C" w:rsidRPr="00531A46" w:rsidRDefault="00906D5C" w:rsidP="00906D5C">
            <w:pPr>
              <w:rPr>
                <w:rFonts w:cstheme="minorHAnsi"/>
              </w:rPr>
            </w:pPr>
            <w:r w:rsidRPr="00531A46">
              <w:t>Quality Assurance and overarching academic oversight</w:t>
            </w:r>
          </w:p>
        </w:tc>
      </w:tr>
      <w:tr w:rsidR="00906D5C" w:rsidRPr="009F5A7B" w14:paraId="69F7D573" w14:textId="77777777" w:rsidTr="41DE7C60">
        <w:trPr>
          <w:trHeight w:val="385"/>
        </w:trPr>
        <w:tc>
          <w:tcPr>
            <w:tcW w:w="4710" w:type="dxa"/>
            <w:shd w:val="clear" w:color="auto" w:fill="A80050"/>
          </w:tcPr>
          <w:p w14:paraId="51C881B6" w14:textId="212763E7" w:rsidR="00906D5C" w:rsidRPr="00531A46" w:rsidRDefault="00906D5C" w:rsidP="00906D5C">
            <w:pPr>
              <w:rPr>
                <w:rFonts w:cstheme="minorHAnsi"/>
                <w:color w:val="FFFFFF" w:themeColor="background1"/>
              </w:rPr>
            </w:pPr>
            <w:r w:rsidRPr="00531A46">
              <w:rPr>
                <w:b/>
                <w:bCs/>
              </w:rPr>
              <w:t>Micro-credential Module Leader</w:t>
            </w:r>
          </w:p>
        </w:tc>
        <w:tc>
          <w:tcPr>
            <w:tcW w:w="4635" w:type="dxa"/>
          </w:tcPr>
          <w:p w14:paraId="1424FC82" w14:textId="79AEF0CC" w:rsidR="00906D5C" w:rsidRPr="00531A46" w:rsidRDefault="00906D5C" w:rsidP="00906D5C">
            <w:pPr>
              <w:rPr>
                <w:rFonts w:cstheme="minorHAnsi"/>
              </w:rPr>
            </w:pPr>
            <w:r w:rsidRPr="00531A46">
              <w:t>Design, delivery and assessment of micro-credential</w:t>
            </w:r>
          </w:p>
        </w:tc>
      </w:tr>
      <w:tr w:rsidR="00906D5C" w:rsidRPr="009F5A7B" w14:paraId="085F82AB" w14:textId="77777777" w:rsidTr="41DE7C60">
        <w:trPr>
          <w:trHeight w:val="385"/>
        </w:trPr>
        <w:tc>
          <w:tcPr>
            <w:tcW w:w="4710" w:type="dxa"/>
            <w:shd w:val="clear" w:color="auto" w:fill="A80050"/>
          </w:tcPr>
          <w:p w14:paraId="623A3C50" w14:textId="5BAA1100" w:rsidR="00906D5C" w:rsidRPr="00531A46" w:rsidRDefault="00906D5C" w:rsidP="00906D5C">
            <w:pPr>
              <w:rPr>
                <w:rFonts w:cstheme="minorHAnsi"/>
                <w:color w:val="FFFFFF" w:themeColor="background1"/>
              </w:rPr>
            </w:pPr>
            <w:r w:rsidRPr="00531A46">
              <w:rPr>
                <w:b/>
                <w:bCs/>
              </w:rPr>
              <w:t>Date</w:t>
            </w:r>
          </w:p>
        </w:tc>
        <w:tc>
          <w:tcPr>
            <w:tcW w:w="4635" w:type="dxa"/>
          </w:tcPr>
          <w:p w14:paraId="6F28B974" w14:textId="54EC3189" w:rsidR="00906D5C" w:rsidRPr="00531A46" w:rsidRDefault="006B5C56" w:rsidP="00906D5C">
            <w:pPr>
              <w:rPr>
                <w:rFonts w:cstheme="minorHAnsi"/>
              </w:rPr>
            </w:pPr>
            <w:r>
              <w:t>28</w:t>
            </w:r>
            <w:r w:rsidR="00906D5C" w:rsidRPr="00B673C7">
              <w:t xml:space="preserve"> </w:t>
            </w:r>
            <w:r w:rsidR="00EE1136" w:rsidRPr="00B673C7">
              <w:t>January 2026</w:t>
            </w:r>
          </w:p>
        </w:tc>
      </w:tr>
      <w:tr w:rsidR="00906D5C" w:rsidRPr="009F5A7B" w14:paraId="0A1B04FF" w14:textId="77777777" w:rsidTr="41DE7C60">
        <w:trPr>
          <w:trHeight w:val="385"/>
        </w:trPr>
        <w:tc>
          <w:tcPr>
            <w:tcW w:w="4710" w:type="dxa"/>
            <w:shd w:val="clear" w:color="auto" w:fill="A80050"/>
          </w:tcPr>
          <w:p w14:paraId="1B87269B" w14:textId="3338FEAB" w:rsidR="00906D5C" w:rsidRPr="00531A46" w:rsidRDefault="00906D5C" w:rsidP="00906D5C">
            <w:pPr>
              <w:rPr>
                <w:b/>
                <w:bCs/>
              </w:rPr>
            </w:pPr>
            <w:r w:rsidRPr="00531A46">
              <w:rPr>
                <w:b/>
                <w:bCs/>
              </w:rPr>
              <w:t>Approved By</w:t>
            </w:r>
          </w:p>
        </w:tc>
        <w:tc>
          <w:tcPr>
            <w:tcW w:w="4635" w:type="dxa"/>
          </w:tcPr>
          <w:p w14:paraId="2AE0B8B7" w14:textId="10BD3A9F" w:rsidR="00906D5C" w:rsidRPr="00531A46" w:rsidRDefault="00906D5C" w:rsidP="00906D5C">
            <w:pPr>
              <w:rPr>
                <w:rFonts w:cstheme="minorHAnsi"/>
              </w:rPr>
            </w:pPr>
            <w:r w:rsidRPr="00531A46">
              <w:t xml:space="preserve">Academic Council Standing </w:t>
            </w:r>
          </w:p>
        </w:tc>
      </w:tr>
    </w:tbl>
    <w:p w14:paraId="49EDB74C" w14:textId="77777777" w:rsidR="00906D5C" w:rsidRPr="00AB7B2A" w:rsidRDefault="00906D5C" w:rsidP="00906D5C">
      <w:pPr>
        <w:jc w:val="both"/>
        <w:rPr>
          <w:rFonts w:ascii="Calibri" w:hAnsi="Calibri" w:cs="Calibri"/>
          <w:b/>
          <w:bCs/>
        </w:rPr>
      </w:pPr>
    </w:p>
    <w:p w14:paraId="3F9DC111" w14:textId="77777777" w:rsidR="00906D5C" w:rsidRPr="00AB7B2A" w:rsidRDefault="00906D5C" w:rsidP="00906D5C">
      <w:pPr>
        <w:jc w:val="both"/>
        <w:rPr>
          <w:rFonts w:ascii="Calibri" w:hAnsi="Calibri" w:cs="Calibri"/>
          <w:b/>
          <w:bCs/>
        </w:rPr>
      </w:pPr>
    </w:p>
    <w:p w14:paraId="22047694" w14:textId="77777777" w:rsidR="00906D5C" w:rsidRPr="00AB7B2A" w:rsidRDefault="00906D5C" w:rsidP="00906D5C">
      <w:pPr>
        <w:jc w:val="both"/>
        <w:rPr>
          <w:rFonts w:ascii="Calibri" w:hAnsi="Calibri" w:cs="Calibri"/>
          <w:b/>
          <w:bCs/>
        </w:rPr>
      </w:pPr>
      <w:r w:rsidRPr="00AB7B2A">
        <w:rPr>
          <w:rFonts w:ascii="Calibri" w:hAnsi="Calibri" w:cs="Calibri"/>
          <w:b/>
          <w:bCs/>
        </w:rPr>
        <w:t xml:space="preserve">5.0 </w:t>
      </w:r>
      <w:r w:rsidRPr="00AB7B2A">
        <w:rPr>
          <w:rFonts w:ascii="Calibri" w:hAnsi="Calibri" w:cs="Calibri"/>
          <w:b/>
          <w:bCs/>
        </w:rPr>
        <w:tab/>
        <w:t>Related Documents (Internal)</w:t>
      </w:r>
    </w:p>
    <w:p w14:paraId="2045D798" w14:textId="77777777" w:rsidR="00906D5C" w:rsidRPr="00531A46" w:rsidRDefault="00906D5C" w:rsidP="00906D5C">
      <w:pPr>
        <w:rPr>
          <w:rFonts w:ascii="Calibri" w:hAnsi="Calibri" w:cs="Calibri"/>
          <w:sz w:val="22"/>
          <w:szCs w:val="22"/>
        </w:rPr>
      </w:pPr>
      <w:r w:rsidRPr="00531A46">
        <w:rPr>
          <w:rFonts w:ascii="Calibri" w:hAnsi="Calibri" w:cs="Calibri"/>
          <w:sz w:val="22"/>
          <w:szCs w:val="22"/>
        </w:rPr>
        <w:t>Visit the P&amp;P Repository on the Quality Office Website for other policies, procedures, regulations and guidelines.</w:t>
      </w:r>
    </w:p>
    <w:p w14:paraId="465E11D1" w14:textId="77777777" w:rsidR="00EE1136" w:rsidRPr="00B673C7" w:rsidRDefault="00EE1136" w:rsidP="00EE1136">
      <w:pPr>
        <w:pStyle w:val="ListParagraph"/>
        <w:widowControl w:val="0"/>
        <w:numPr>
          <w:ilvl w:val="1"/>
          <w:numId w:val="14"/>
        </w:numPr>
        <w:autoSpaceDE w:val="0"/>
        <w:autoSpaceDN w:val="0"/>
        <w:spacing w:after="0" w:line="240" w:lineRule="auto"/>
        <w:contextualSpacing w:val="0"/>
        <w:jc w:val="both"/>
        <w:rPr>
          <w:rFonts w:ascii="Calibri" w:hAnsi="Calibri" w:cs="Calibri"/>
        </w:rPr>
      </w:pPr>
      <w:r w:rsidRPr="00B673C7">
        <w:rPr>
          <w:rFonts w:ascii="Calibri" w:hAnsi="Calibri" w:cs="Calibri"/>
        </w:rPr>
        <w:t>QA050 - University Curriculum Design and Management Policy</w:t>
      </w:r>
    </w:p>
    <w:p w14:paraId="21DE5FA9" w14:textId="77777777" w:rsidR="00EE1136" w:rsidRPr="00B673C7" w:rsidRDefault="00EE1136" w:rsidP="00EE1136">
      <w:pPr>
        <w:pStyle w:val="ListParagraph"/>
        <w:widowControl w:val="0"/>
        <w:numPr>
          <w:ilvl w:val="1"/>
          <w:numId w:val="14"/>
        </w:numPr>
        <w:autoSpaceDE w:val="0"/>
        <w:autoSpaceDN w:val="0"/>
        <w:spacing w:after="0" w:line="240" w:lineRule="auto"/>
        <w:contextualSpacing w:val="0"/>
        <w:jc w:val="both"/>
        <w:rPr>
          <w:rFonts w:ascii="Calibri" w:hAnsi="Calibri" w:cs="Calibri"/>
        </w:rPr>
      </w:pPr>
      <w:r w:rsidRPr="00B673C7">
        <w:rPr>
          <w:rFonts w:ascii="Calibri" w:hAnsi="Calibri" w:cs="Calibri"/>
        </w:rPr>
        <w:t>QA277 - Assessment Policy</w:t>
      </w:r>
    </w:p>
    <w:p w14:paraId="6B089CFA" w14:textId="77777777" w:rsidR="00EE1136" w:rsidRPr="00B673C7" w:rsidRDefault="00EE1136" w:rsidP="00EE1136">
      <w:pPr>
        <w:pStyle w:val="ListParagraph"/>
        <w:widowControl w:val="0"/>
        <w:numPr>
          <w:ilvl w:val="1"/>
          <w:numId w:val="14"/>
        </w:numPr>
        <w:autoSpaceDE w:val="0"/>
        <w:autoSpaceDN w:val="0"/>
        <w:spacing w:after="0" w:line="240" w:lineRule="auto"/>
        <w:contextualSpacing w:val="0"/>
        <w:jc w:val="both"/>
        <w:rPr>
          <w:rFonts w:ascii="Calibri" w:hAnsi="Calibri" w:cs="Calibri"/>
        </w:rPr>
      </w:pPr>
      <w:r w:rsidRPr="00B673C7">
        <w:rPr>
          <w:rFonts w:ascii="Calibri" w:hAnsi="Calibri" w:cs="Calibri"/>
        </w:rPr>
        <w:t>QA005 - Role of External Examiners – Taught Programmes</w:t>
      </w:r>
    </w:p>
    <w:p w14:paraId="447B00B5" w14:textId="77777777" w:rsidR="00EE1136" w:rsidRPr="00B673C7" w:rsidRDefault="00EE1136" w:rsidP="00EE1136">
      <w:pPr>
        <w:pStyle w:val="ListParagraph"/>
        <w:widowControl w:val="0"/>
        <w:numPr>
          <w:ilvl w:val="1"/>
          <w:numId w:val="14"/>
        </w:numPr>
        <w:autoSpaceDE w:val="0"/>
        <w:autoSpaceDN w:val="0"/>
        <w:spacing w:after="0" w:line="240" w:lineRule="auto"/>
        <w:contextualSpacing w:val="0"/>
        <w:jc w:val="both"/>
        <w:rPr>
          <w:rFonts w:ascii="Calibri" w:hAnsi="Calibri" w:cs="Calibri"/>
        </w:rPr>
      </w:pPr>
      <w:r w:rsidRPr="00B673C7">
        <w:rPr>
          <w:rFonts w:ascii="Calibri" w:hAnsi="Calibri" w:cs="Calibri"/>
        </w:rPr>
        <w:t xml:space="preserve">QA 221 - Feedback on Modules and Programmes </w:t>
      </w:r>
    </w:p>
    <w:p w14:paraId="3DD6EA28" w14:textId="77777777" w:rsidR="00EE1136" w:rsidRPr="00B673C7" w:rsidRDefault="00EE1136" w:rsidP="00EE1136">
      <w:pPr>
        <w:pStyle w:val="ListParagraph"/>
        <w:widowControl w:val="0"/>
        <w:numPr>
          <w:ilvl w:val="1"/>
          <w:numId w:val="14"/>
        </w:numPr>
        <w:autoSpaceDE w:val="0"/>
        <w:autoSpaceDN w:val="0"/>
        <w:spacing w:after="0" w:line="240" w:lineRule="auto"/>
        <w:contextualSpacing w:val="0"/>
        <w:jc w:val="both"/>
        <w:rPr>
          <w:rFonts w:ascii="Calibri" w:hAnsi="Calibri" w:cs="Calibri"/>
        </w:rPr>
      </w:pPr>
      <w:r w:rsidRPr="00B673C7">
        <w:rPr>
          <w:rFonts w:ascii="Calibri" w:hAnsi="Calibri" w:cs="Calibri"/>
        </w:rPr>
        <w:t>QA006 – Review of Taught Programmes</w:t>
      </w:r>
    </w:p>
    <w:p w14:paraId="0C0B4BA5" w14:textId="5C66AED3" w:rsidR="00EE1136" w:rsidRPr="00B673C7" w:rsidRDefault="00EE1136" w:rsidP="00EE1136">
      <w:pPr>
        <w:pStyle w:val="ListParagraph"/>
        <w:widowControl w:val="0"/>
        <w:numPr>
          <w:ilvl w:val="1"/>
          <w:numId w:val="14"/>
        </w:numPr>
        <w:autoSpaceDE w:val="0"/>
        <w:autoSpaceDN w:val="0"/>
        <w:spacing w:after="0" w:line="240" w:lineRule="auto"/>
        <w:contextualSpacing w:val="0"/>
        <w:jc w:val="both"/>
        <w:rPr>
          <w:rFonts w:ascii="Calibri" w:hAnsi="Calibri" w:cs="Calibri"/>
        </w:rPr>
      </w:pPr>
      <w:r w:rsidRPr="00B673C7">
        <w:rPr>
          <w:rFonts w:ascii="Calibri" w:hAnsi="Calibri" w:cs="Calibri"/>
        </w:rPr>
        <w:t>QA22</w:t>
      </w:r>
      <w:r w:rsidR="00EC4D94">
        <w:rPr>
          <w:rFonts w:ascii="Calibri" w:hAnsi="Calibri" w:cs="Calibri"/>
        </w:rPr>
        <w:t>2</w:t>
      </w:r>
      <w:r w:rsidRPr="00B673C7">
        <w:rPr>
          <w:rFonts w:ascii="Calibri" w:hAnsi="Calibri" w:cs="Calibri"/>
        </w:rPr>
        <w:t xml:space="preserve"> Recognition of Prior Learning (RPL)</w:t>
      </w:r>
    </w:p>
    <w:p w14:paraId="23CB9D0A" w14:textId="6C74F5B2" w:rsidR="00EE1136" w:rsidRPr="00B673C7" w:rsidRDefault="00EE1136" w:rsidP="00EE1136">
      <w:pPr>
        <w:pStyle w:val="ListParagraph"/>
        <w:widowControl w:val="0"/>
        <w:numPr>
          <w:ilvl w:val="1"/>
          <w:numId w:val="14"/>
        </w:numPr>
        <w:autoSpaceDE w:val="0"/>
        <w:autoSpaceDN w:val="0"/>
        <w:spacing w:after="0" w:line="240" w:lineRule="auto"/>
        <w:contextualSpacing w:val="0"/>
        <w:jc w:val="both"/>
        <w:rPr>
          <w:rFonts w:ascii="Calibri" w:hAnsi="Calibri" w:cs="Calibri"/>
        </w:rPr>
      </w:pPr>
      <w:r w:rsidRPr="00B673C7">
        <w:rPr>
          <w:rFonts w:ascii="Calibri" w:hAnsi="Calibri" w:cs="Calibri"/>
        </w:rPr>
        <w:t>QA246 Collaborative Partnerships</w:t>
      </w:r>
    </w:p>
    <w:p w14:paraId="7B677D5B" w14:textId="33DA88B8" w:rsidR="41DE7C60" w:rsidRDefault="41DE7C60" w:rsidP="41DE7C60">
      <w:pPr>
        <w:rPr>
          <w:rFonts w:ascii="Calibri" w:hAnsi="Calibri" w:cs="Calibri"/>
        </w:rPr>
      </w:pPr>
    </w:p>
    <w:p w14:paraId="50651F25" w14:textId="36AC01A5" w:rsidR="41DE7C60" w:rsidRDefault="41DE7C60" w:rsidP="41DE7C60">
      <w:pPr>
        <w:rPr>
          <w:rFonts w:ascii="Calibri" w:hAnsi="Calibri" w:cs="Calibri"/>
        </w:rPr>
      </w:pPr>
    </w:p>
    <w:p w14:paraId="60B82394" w14:textId="77777777" w:rsidR="00906D5C" w:rsidRPr="00AB7B2A" w:rsidRDefault="00906D5C" w:rsidP="00906D5C">
      <w:pPr>
        <w:rPr>
          <w:rFonts w:ascii="Calibri" w:hAnsi="Calibri" w:cs="Calibri"/>
          <w:b/>
          <w:bCs/>
        </w:rPr>
      </w:pPr>
      <w:r w:rsidRPr="00AB7B2A">
        <w:rPr>
          <w:rFonts w:ascii="Calibri" w:hAnsi="Calibri" w:cs="Calibri"/>
          <w:b/>
          <w:bCs/>
        </w:rPr>
        <w:t>5.1</w:t>
      </w:r>
      <w:r w:rsidRPr="00AB7B2A">
        <w:rPr>
          <w:rFonts w:ascii="Calibri" w:hAnsi="Calibri" w:cs="Calibri"/>
          <w:b/>
          <w:bCs/>
        </w:rPr>
        <w:tab/>
        <w:t>Related Documents (External)</w:t>
      </w:r>
    </w:p>
    <w:p w14:paraId="2AF89EF9" w14:textId="090AB93F" w:rsidR="00906D5C" w:rsidRPr="00164047" w:rsidRDefault="00906D5C" w:rsidP="00095686">
      <w:pPr>
        <w:jc w:val="both"/>
        <w:rPr>
          <w:rFonts w:ascii="Calibri" w:hAnsi="Calibri" w:cs="Calibri"/>
        </w:rPr>
      </w:pPr>
      <w:r w:rsidRPr="00531A46">
        <w:rPr>
          <w:rFonts w:ascii="Calibri" w:hAnsi="Calibri" w:cs="Calibri"/>
          <w:sz w:val="22"/>
          <w:szCs w:val="22"/>
        </w:rPr>
        <w:t>The following documents inform this policy:</w:t>
      </w:r>
    </w:p>
    <w:p w14:paraId="3D396589" w14:textId="16A826E7" w:rsidR="009949E8" w:rsidRPr="00EE1136" w:rsidRDefault="00906D5C" w:rsidP="00EE1136">
      <w:pPr>
        <w:pStyle w:val="ListParagraph"/>
        <w:widowControl w:val="0"/>
        <w:numPr>
          <w:ilvl w:val="0"/>
          <w:numId w:val="15"/>
        </w:numPr>
        <w:autoSpaceDE w:val="0"/>
        <w:autoSpaceDN w:val="0"/>
        <w:spacing w:after="0" w:line="240" w:lineRule="auto"/>
        <w:contextualSpacing w:val="0"/>
        <w:rPr>
          <w:rFonts w:ascii="Calibri" w:hAnsi="Calibri" w:cs="Calibri"/>
        </w:rPr>
      </w:pPr>
      <w:r w:rsidRPr="00EE1136">
        <w:rPr>
          <w:rFonts w:ascii="Calibri" w:hAnsi="Calibri" w:cs="Calibri"/>
        </w:rPr>
        <w:t xml:space="preserve">European Council (2022) Council Recommendation on a European Approach to Micro-credentials for Lifelong Learning and Employability. Available at: </w:t>
      </w:r>
      <w:hyperlink r:id="rId11" w:history="1">
        <w:r w:rsidRPr="00164047">
          <w:rPr>
            <w:rStyle w:val="Hyperlink"/>
            <w:rFonts w:ascii="Calibri" w:hAnsi="Calibri" w:cs="Calibri"/>
            <w:color w:val="auto"/>
          </w:rPr>
          <w:t>https://eur-lex.europa.eu/legal-content/EN/TXT/?uri=CELEX%3A32022H0627%2802%29</w:t>
        </w:r>
      </w:hyperlink>
      <w:r w:rsidRPr="00EE1136">
        <w:rPr>
          <w:rFonts w:ascii="Calibri" w:hAnsi="Calibri" w:cs="Calibri"/>
        </w:rPr>
        <w:t xml:space="preserve"> </w:t>
      </w:r>
    </w:p>
    <w:p w14:paraId="2E34C843" w14:textId="10CC9A66" w:rsidR="00164047" w:rsidRPr="00164047" w:rsidRDefault="00906D5C" w:rsidP="00EE1136">
      <w:pPr>
        <w:pStyle w:val="ListParagraph"/>
        <w:widowControl w:val="0"/>
        <w:numPr>
          <w:ilvl w:val="0"/>
          <w:numId w:val="15"/>
        </w:numPr>
        <w:autoSpaceDE w:val="0"/>
        <w:autoSpaceDN w:val="0"/>
        <w:spacing w:after="0" w:line="240" w:lineRule="auto"/>
        <w:contextualSpacing w:val="0"/>
      </w:pPr>
      <w:r w:rsidRPr="00EE1136">
        <w:rPr>
          <w:rFonts w:ascii="Calibri" w:eastAsia="Aptos" w:hAnsi="Calibri" w:cs="Calibri"/>
        </w:rPr>
        <w:t xml:space="preserve">QQI (2021) Early exploration into Micro-credentials in higher education, 2014–2020. Dublin: Quality and Qualifications Ireland. Available at: </w:t>
      </w:r>
      <w:hyperlink r:id="rId12">
        <w:r w:rsidRPr="00164047">
          <w:rPr>
            <w:rStyle w:val="Hyperlink"/>
            <w:rFonts w:ascii="Calibri" w:eastAsia="Aptos" w:hAnsi="Calibri" w:cs="Calibri"/>
            <w:color w:val="auto"/>
          </w:rPr>
          <w:t>https://www.qqi.ie/sites/default/files/2021-10/early-exploration-into-Micro-credentials-in-higher-education-2014-20.pdf</w:t>
        </w:r>
      </w:hyperlink>
    </w:p>
    <w:p w14:paraId="221079DE" w14:textId="45DF2AFA" w:rsidR="00164047" w:rsidRPr="00164047" w:rsidRDefault="00F632F6" w:rsidP="00164047">
      <w:pPr>
        <w:pStyle w:val="ListParagraph"/>
        <w:widowControl w:val="0"/>
        <w:numPr>
          <w:ilvl w:val="0"/>
          <w:numId w:val="15"/>
        </w:numPr>
        <w:autoSpaceDE w:val="0"/>
        <w:autoSpaceDN w:val="0"/>
        <w:spacing w:after="0" w:line="240" w:lineRule="auto"/>
        <w:contextualSpacing w:val="0"/>
        <w:rPr>
          <w:rFonts w:ascii="Calibri" w:hAnsi="Calibri" w:cs="Calibri"/>
        </w:rPr>
      </w:pPr>
      <w:r w:rsidRPr="00164047">
        <w:t>Standards and Guidelines for Quality Assurance in the European Higher Education Area (ESG)</w:t>
      </w:r>
      <w:r w:rsidR="00536160" w:rsidRPr="00164047">
        <w:t>. (2015). Brussels, Belgium.</w:t>
      </w:r>
    </w:p>
    <w:p w14:paraId="4A0CD0ED" w14:textId="51B14968" w:rsidR="003A2EC2" w:rsidRPr="00164047" w:rsidRDefault="003A2EC2" w:rsidP="00164047">
      <w:pPr>
        <w:pStyle w:val="ListParagraph"/>
        <w:widowControl w:val="0"/>
        <w:numPr>
          <w:ilvl w:val="0"/>
          <w:numId w:val="15"/>
        </w:numPr>
        <w:autoSpaceDE w:val="0"/>
        <w:autoSpaceDN w:val="0"/>
        <w:spacing w:after="0" w:line="240" w:lineRule="auto"/>
        <w:contextualSpacing w:val="0"/>
        <w:rPr>
          <w:rFonts w:ascii="Calibri" w:hAnsi="Calibri" w:cs="Calibri"/>
        </w:rPr>
      </w:pPr>
      <w:r w:rsidRPr="00164047">
        <w:rPr>
          <w:rFonts w:ascii="Calibri" w:hAnsi="Calibri" w:cs="Calibri"/>
        </w:rPr>
        <w:t>United Nations General Assembly (2015) Transforming our world: the 2030 Agenda for Sustainable Development, A/RES/70/1. Available at:</w:t>
      </w:r>
      <w:r w:rsidR="00164047" w:rsidRPr="00164047">
        <w:rPr>
          <w:rFonts w:ascii="Calibri" w:hAnsi="Calibri" w:cs="Calibri"/>
        </w:rPr>
        <w:t xml:space="preserve"> </w:t>
      </w:r>
      <w:r w:rsidRPr="00164047">
        <w:rPr>
          <w:rFonts w:ascii="Calibri" w:hAnsi="Calibri" w:cs="Calibri"/>
        </w:rPr>
        <w:t>https://sustainabledevelopment.un.org/content/documents/21252030%20Agenda%20for%20Sustainable%20Development%20web.pdf (Accessed: 18 November 2025).</w:t>
      </w:r>
    </w:p>
    <w:p w14:paraId="34C0C423" w14:textId="5A16AEA5" w:rsidR="0050125F" w:rsidRPr="00EE1136" w:rsidRDefault="0050125F" w:rsidP="00EE1136">
      <w:pPr>
        <w:widowControl w:val="0"/>
        <w:autoSpaceDE w:val="0"/>
        <w:autoSpaceDN w:val="0"/>
        <w:ind w:left="360"/>
        <w:rPr>
          <w:rFonts w:ascii="Calibri" w:hAnsi="Calibri" w:cs="Calibri"/>
        </w:rPr>
      </w:pPr>
    </w:p>
    <w:p w14:paraId="331D231B" w14:textId="77777777" w:rsidR="00906D5C" w:rsidRPr="00531A46" w:rsidRDefault="00906D5C" w:rsidP="006570F8">
      <w:pPr>
        <w:rPr>
          <w:rFonts w:cstheme="minorHAnsi"/>
          <w:sz w:val="22"/>
          <w:szCs w:val="22"/>
        </w:rPr>
      </w:pPr>
    </w:p>
    <w:p w14:paraId="6BADA5D7" w14:textId="2B202E62" w:rsidR="003107A4" w:rsidRPr="009F5A7B" w:rsidRDefault="003107A4" w:rsidP="004B3B28">
      <w:pPr>
        <w:tabs>
          <w:tab w:val="left" w:pos="945"/>
          <w:tab w:val="left" w:pos="1260"/>
        </w:tabs>
        <w:rPr>
          <w:rFonts w:cstheme="minorHAnsi"/>
          <w:sz w:val="22"/>
          <w:szCs w:val="22"/>
        </w:rPr>
      </w:pPr>
    </w:p>
    <w:sectPr w:rsidR="003107A4" w:rsidRPr="009F5A7B" w:rsidSect="00BF02A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20"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2AC6" w14:textId="77777777" w:rsidR="00787C68" w:rsidRDefault="00787C68" w:rsidP="003107A4">
      <w:r>
        <w:separator/>
      </w:r>
    </w:p>
  </w:endnote>
  <w:endnote w:type="continuationSeparator" w:id="0">
    <w:p w14:paraId="0172EFF3" w14:textId="77777777" w:rsidR="00787C68" w:rsidRDefault="00787C68" w:rsidP="0031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940316"/>
      <w:docPartObj>
        <w:docPartGallery w:val="Page Numbers (Bottom of Page)"/>
        <w:docPartUnique/>
      </w:docPartObj>
    </w:sdtPr>
    <w:sdtContent>
      <w:p w14:paraId="1F8AAF03" w14:textId="1E63D628" w:rsidR="00404390" w:rsidRDefault="00404390" w:rsidP="001554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B69469" w14:textId="77777777" w:rsidR="00BF02A5" w:rsidRDefault="00BF0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3960990"/>
      <w:docPartObj>
        <w:docPartGallery w:val="Page Numbers (Bottom of Page)"/>
        <w:docPartUnique/>
      </w:docPartObj>
    </w:sdtPr>
    <w:sdtContent>
      <w:p w14:paraId="2A821AE1" w14:textId="465A4B3A" w:rsidR="00404390" w:rsidRDefault="00404390" w:rsidP="0015541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61C15DC" w14:textId="7ABBE41C" w:rsidR="003107A4" w:rsidRDefault="00BF02A5">
    <w:pPr>
      <w:pStyle w:val="Footer"/>
    </w:pPr>
    <w:r>
      <w:rPr>
        <w:noProof/>
        <w:lang w:val="en-IE" w:eastAsia="en-IE"/>
      </w:rPr>
      <mc:AlternateContent>
        <mc:Choice Requires="wps">
          <w:drawing>
            <wp:anchor distT="0" distB="0" distL="114300" distR="114300" simplePos="0" relativeHeight="251663360" behindDoc="1" locked="0" layoutInCell="1" allowOverlap="1" wp14:anchorId="152B070D" wp14:editId="540BA5D6">
              <wp:simplePos x="0" y="0"/>
              <wp:positionH relativeFrom="page">
                <wp:posOffset>12357</wp:posOffset>
              </wp:positionH>
              <wp:positionV relativeFrom="page">
                <wp:align>bottom</wp:align>
              </wp:positionV>
              <wp:extent cx="7560310" cy="215900"/>
              <wp:effectExtent l="0" t="0" r="254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15900"/>
                      </a:xfrm>
                      <a:prstGeom prst="rect">
                        <a:avLst/>
                      </a:prstGeom>
                      <a:solidFill>
                        <a:srgbClr val="93094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F557154">
            <v:rect id="docshape1" style="position:absolute;margin-left:.95pt;margin-top:0;width:595.3pt;height:17pt;z-index:-25165312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spid="_x0000_s1026" fillcolor="#930949" stroked="f" w14:anchorId="5D077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">
              <w10:wrap anchorx="page" anchory="page"/>
            </v:rect>
          </w:pict>
        </mc:Fallback>
      </mc:AlternateContent>
    </w:r>
    <w:r w:rsidR="003107A4">
      <w:rPr>
        <w:noProof/>
        <w:lang w:val="en-IE" w:eastAsia="en-IE"/>
      </w:rPr>
      <mc:AlternateContent>
        <mc:Choice Requires="wps">
          <w:drawing>
            <wp:anchor distT="0" distB="0" distL="114300" distR="114300" simplePos="0" relativeHeight="251661312" behindDoc="1" locked="0" layoutInCell="1" allowOverlap="1" wp14:anchorId="66FDA4CD" wp14:editId="353CC766">
              <wp:simplePos x="0" y="0"/>
              <wp:positionH relativeFrom="margin">
                <wp:posOffset>-457200</wp:posOffset>
              </wp:positionH>
              <wp:positionV relativeFrom="margin">
                <wp:posOffset>9836150</wp:posOffset>
              </wp:positionV>
              <wp:extent cx="7560310" cy="215900"/>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215900"/>
                      </a:xfrm>
                      <a:prstGeom prst="rect">
                        <a:avLst/>
                      </a:prstGeom>
                      <a:solidFill>
                        <a:srgbClr val="93094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4BEF07C7">
            <v:rect id="docshape1" style="position:absolute;margin-left:-36pt;margin-top:774.5pt;width:595.3pt;height:1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930949" stroked="f" w14:anchorId="54C5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">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7446" w14:textId="77777777" w:rsidR="00BF02A5" w:rsidRDefault="00BF0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25AB" w14:textId="77777777" w:rsidR="00787C68" w:rsidRDefault="00787C68" w:rsidP="003107A4">
      <w:r>
        <w:separator/>
      </w:r>
    </w:p>
  </w:footnote>
  <w:footnote w:type="continuationSeparator" w:id="0">
    <w:p w14:paraId="33DDBD58" w14:textId="77777777" w:rsidR="00787C68" w:rsidRDefault="00787C68" w:rsidP="0031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2795" w14:textId="77777777" w:rsidR="00BF02A5" w:rsidRDefault="00BF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0439" w14:textId="470F9AD1" w:rsidR="00BF02A5" w:rsidRDefault="00BF02A5">
    <w:pPr>
      <w:pStyle w:val="Header"/>
    </w:pPr>
    <w:r w:rsidRPr="009C7088">
      <w:rPr>
        <w:rFonts w:ascii="Times New Roman"/>
        <w:noProof/>
        <w:sz w:val="20"/>
        <w:vertAlign w:val="subscript"/>
        <w:lang w:val="en-IE" w:eastAsia="en-IE"/>
      </w:rPr>
      <w:drawing>
        <wp:anchor distT="0" distB="0" distL="114300" distR="114300" simplePos="0" relativeHeight="251659264" behindDoc="0" locked="0" layoutInCell="1" allowOverlap="1" wp14:anchorId="598D6795" wp14:editId="3CB31D3E">
          <wp:simplePos x="0" y="0"/>
          <wp:positionH relativeFrom="margin">
            <wp:align>left</wp:align>
          </wp:positionH>
          <wp:positionV relativeFrom="paragraph">
            <wp:posOffset>-320778</wp:posOffset>
          </wp:positionV>
          <wp:extent cx="3020400" cy="1141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400" cy="1141635"/>
                  </a:xfrm>
                  <a:prstGeom prst="rect">
                    <a:avLst/>
                  </a:prstGeom>
                </pic:spPr>
              </pic:pic>
            </a:graphicData>
          </a:graphic>
          <wp14:sizeRelH relativeFrom="page">
            <wp14:pctWidth>0</wp14:pctWidth>
          </wp14:sizeRelH>
          <wp14:sizeRelV relativeFrom="page">
            <wp14:pctHeight>0</wp14:pctHeight>
          </wp14:sizeRelV>
        </wp:anchor>
      </w:drawing>
    </w:r>
  </w:p>
  <w:p w14:paraId="6AAED2B4" w14:textId="77777777" w:rsidR="00BF02A5" w:rsidRDefault="00BF02A5">
    <w:pPr>
      <w:pStyle w:val="Header"/>
    </w:pPr>
  </w:p>
  <w:p w14:paraId="6699162B" w14:textId="1B921374" w:rsidR="00BF02A5" w:rsidRDefault="00BF02A5">
    <w:pPr>
      <w:pStyle w:val="Header"/>
    </w:pPr>
  </w:p>
  <w:p w14:paraId="5036918D" w14:textId="77777777" w:rsidR="00BF02A5" w:rsidRDefault="00BF02A5">
    <w:pPr>
      <w:pStyle w:val="Header"/>
    </w:pPr>
  </w:p>
  <w:p w14:paraId="7727DB99" w14:textId="2BAA807A" w:rsidR="003107A4" w:rsidRDefault="003107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074D" w14:textId="77777777" w:rsidR="00BF02A5" w:rsidRDefault="00BF0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140CA"/>
    <w:multiLevelType w:val="multilevel"/>
    <w:tmpl w:val="B36E02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174B4"/>
    <w:multiLevelType w:val="multilevel"/>
    <w:tmpl w:val="E4D8DB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DE7B94"/>
    <w:multiLevelType w:val="hybridMultilevel"/>
    <w:tmpl w:val="A29A9D6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0B20A3D"/>
    <w:multiLevelType w:val="hybridMultilevel"/>
    <w:tmpl w:val="3ECCA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B3227"/>
    <w:multiLevelType w:val="hybridMultilevel"/>
    <w:tmpl w:val="63CC1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67C2158"/>
    <w:multiLevelType w:val="hybridMultilevel"/>
    <w:tmpl w:val="7D1E6D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D34C32"/>
    <w:multiLevelType w:val="hybridMultilevel"/>
    <w:tmpl w:val="E3583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7DE5BB5"/>
    <w:multiLevelType w:val="hybridMultilevel"/>
    <w:tmpl w:val="0EF653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F623315"/>
    <w:multiLevelType w:val="hybridMultilevel"/>
    <w:tmpl w:val="F76A58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1D06B32"/>
    <w:multiLevelType w:val="hybridMultilevel"/>
    <w:tmpl w:val="60F4D9A8"/>
    <w:lvl w:ilvl="0" w:tplc="1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DF0C7A"/>
    <w:multiLevelType w:val="hybridMultilevel"/>
    <w:tmpl w:val="98BE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915D9F"/>
    <w:multiLevelType w:val="hybridMultilevel"/>
    <w:tmpl w:val="7AD83EE0"/>
    <w:lvl w:ilvl="0" w:tplc="6BE0E9E6">
      <w:start w:val="1"/>
      <w:numFmt w:val="upp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D71545"/>
    <w:multiLevelType w:val="hybridMultilevel"/>
    <w:tmpl w:val="0EC4D42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87936E9"/>
    <w:multiLevelType w:val="hybridMultilevel"/>
    <w:tmpl w:val="53EC10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24A41B0"/>
    <w:multiLevelType w:val="multilevel"/>
    <w:tmpl w:val="10DE90A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2D5F21"/>
    <w:multiLevelType w:val="hybridMultilevel"/>
    <w:tmpl w:val="8FD45E9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7E113449"/>
    <w:multiLevelType w:val="hybridMultilevel"/>
    <w:tmpl w:val="0DC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14588"/>
    <w:multiLevelType w:val="hybridMultilevel"/>
    <w:tmpl w:val="8D66F2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186016686">
    <w:abstractNumId w:val="1"/>
  </w:num>
  <w:num w:numId="2" w16cid:durableId="1059016075">
    <w:abstractNumId w:val="16"/>
  </w:num>
  <w:num w:numId="3" w16cid:durableId="1569266813">
    <w:abstractNumId w:val="13"/>
  </w:num>
  <w:num w:numId="4" w16cid:durableId="1790471705">
    <w:abstractNumId w:val="17"/>
  </w:num>
  <w:num w:numId="5" w16cid:durableId="794058019">
    <w:abstractNumId w:val="4"/>
  </w:num>
  <w:num w:numId="6" w16cid:durableId="625350478">
    <w:abstractNumId w:val="14"/>
  </w:num>
  <w:num w:numId="7" w16cid:durableId="1029256497">
    <w:abstractNumId w:val="7"/>
  </w:num>
  <w:num w:numId="8" w16cid:durableId="703140004">
    <w:abstractNumId w:val="5"/>
  </w:num>
  <w:num w:numId="9" w16cid:durableId="1374307933">
    <w:abstractNumId w:val="12"/>
  </w:num>
  <w:num w:numId="10" w16cid:durableId="1489321611">
    <w:abstractNumId w:val="15"/>
  </w:num>
  <w:num w:numId="11" w16cid:durableId="1422917905">
    <w:abstractNumId w:val="9"/>
  </w:num>
  <w:num w:numId="12" w16cid:durableId="1697803971">
    <w:abstractNumId w:val="8"/>
  </w:num>
  <w:num w:numId="13" w16cid:durableId="1044907836">
    <w:abstractNumId w:val="6"/>
  </w:num>
  <w:num w:numId="14" w16cid:durableId="1872574337">
    <w:abstractNumId w:val="2"/>
  </w:num>
  <w:num w:numId="15" w16cid:durableId="1560551709">
    <w:abstractNumId w:val="3"/>
  </w:num>
  <w:num w:numId="16" w16cid:durableId="17588666">
    <w:abstractNumId w:val="0"/>
  </w:num>
  <w:num w:numId="17" w16cid:durableId="517625383">
    <w:abstractNumId w:val="11"/>
  </w:num>
  <w:num w:numId="18" w16cid:durableId="182086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4"/>
    <w:rsid w:val="00027374"/>
    <w:rsid w:val="00042555"/>
    <w:rsid w:val="00045C3E"/>
    <w:rsid w:val="00052FA6"/>
    <w:rsid w:val="00053D52"/>
    <w:rsid w:val="00055DEF"/>
    <w:rsid w:val="00056F4B"/>
    <w:rsid w:val="000668DF"/>
    <w:rsid w:val="00074927"/>
    <w:rsid w:val="000767BA"/>
    <w:rsid w:val="00082498"/>
    <w:rsid w:val="00087E07"/>
    <w:rsid w:val="00095686"/>
    <w:rsid w:val="000C0747"/>
    <w:rsid w:val="000C44D2"/>
    <w:rsid w:val="000D2955"/>
    <w:rsid w:val="00115FEF"/>
    <w:rsid w:val="001406A2"/>
    <w:rsid w:val="0014443C"/>
    <w:rsid w:val="00150333"/>
    <w:rsid w:val="00164047"/>
    <w:rsid w:val="001A5571"/>
    <w:rsid w:val="001C473B"/>
    <w:rsid w:val="001D1B1E"/>
    <w:rsid w:val="001D242F"/>
    <w:rsid w:val="001D5F4C"/>
    <w:rsid w:val="001E5EC5"/>
    <w:rsid w:val="001E668C"/>
    <w:rsid w:val="0023195F"/>
    <w:rsid w:val="002338BF"/>
    <w:rsid w:val="0024788C"/>
    <w:rsid w:val="00261F3C"/>
    <w:rsid w:val="002748BA"/>
    <w:rsid w:val="0027563F"/>
    <w:rsid w:val="00277605"/>
    <w:rsid w:val="00282DD9"/>
    <w:rsid w:val="00287281"/>
    <w:rsid w:val="002A6C7F"/>
    <w:rsid w:val="002B0B16"/>
    <w:rsid w:val="002B6EDD"/>
    <w:rsid w:val="002C4E41"/>
    <w:rsid w:val="0030086B"/>
    <w:rsid w:val="003107A4"/>
    <w:rsid w:val="00310CAE"/>
    <w:rsid w:val="00323F00"/>
    <w:rsid w:val="00344C98"/>
    <w:rsid w:val="00352BF6"/>
    <w:rsid w:val="003647A5"/>
    <w:rsid w:val="00380578"/>
    <w:rsid w:val="003826B1"/>
    <w:rsid w:val="00385986"/>
    <w:rsid w:val="00386365"/>
    <w:rsid w:val="00386A1C"/>
    <w:rsid w:val="003A2EC2"/>
    <w:rsid w:val="003A6120"/>
    <w:rsid w:val="003B02D2"/>
    <w:rsid w:val="003C1A15"/>
    <w:rsid w:val="003C478E"/>
    <w:rsid w:val="003D10BE"/>
    <w:rsid w:val="003E0DCF"/>
    <w:rsid w:val="00404390"/>
    <w:rsid w:val="0040505D"/>
    <w:rsid w:val="00416039"/>
    <w:rsid w:val="004532F7"/>
    <w:rsid w:val="004673A1"/>
    <w:rsid w:val="00475183"/>
    <w:rsid w:val="004937C4"/>
    <w:rsid w:val="004B3B28"/>
    <w:rsid w:val="004B41AB"/>
    <w:rsid w:val="004C77AB"/>
    <w:rsid w:val="004E1649"/>
    <w:rsid w:val="0050125F"/>
    <w:rsid w:val="0050524E"/>
    <w:rsid w:val="00516A1C"/>
    <w:rsid w:val="00520617"/>
    <w:rsid w:val="00531A46"/>
    <w:rsid w:val="00536160"/>
    <w:rsid w:val="00543426"/>
    <w:rsid w:val="0054483B"/>
    <w:rsid w:val="00557584"/>
    <w:rsid w:val="00564C1E"/>
    <w:rsid w:val="0056687F"/>
    <w:rsid w:val="00597EDB"/>
    <w:rsid w:val="005B33A5"/>
    <w:rsid w:val="005C31D8"/>
    <w:rsid w:val="005F2698"/>
    <w:rsid w:val="006138AC"/>
    <w:rsid w:val="006253A4"/>
    <w:rsid w:val="00634E6B"/>
    <w:rsid w:val="0064759A"/>
    <w:rsid w:val="006570F8"/>
    <w:rsid w:val="006607DF"/>
    <w:rsid w:val="0068277F"/>
    <w:rsid w:val="006A4079"/>
    <w:rsid w:val="006B5C56"/>
    <w:rsid w:val="006E794B"/>
    <w:rsid w:val="006F0526"/>
    <w:rsid w:val="006F1FDE"/>
    <w:rsid w:val="00701B8D"/>
    <w:rsid w:val="0073567E"/>
    <w:rsid w:val="00745C2C"/>
    <w:rsid w:val="00787C68"/>
    <w:rsid w:val="00787E0F"/>
    <w:rsid w:val="007974B2"/>
    <w:rsid w:val="007C1E3F"/>
    <w:rsid w:val="007E128D"/>
    <w:rsid w:val="007E4718"/>
    <w:rsid w:val="00800601"/>
    <w:rsid w:val="0082103E"/>
    <w:rsid w:val="00826886"/>
    <w:rsid w:val="00833696"/>
    <w:rsid w:val="008762FE"/>
    <w:rsid w:val="008974BF"/>
    <w:rsid w:val="00897E3C"/>
    <w:rsid w:val="008A09DA"/>
    <w:rsid w:val="008A1906"/>
    <w:rsid w:val="008C4732"/>
    <w:rsid w:val="008D301B"/>
    <w:rsid w:val="008E36D9"/>
    <w:rsid w:val="00906D5C"/>
    <w:rsid w:val="00941012"/>
    <w:rsid w:val="00942577"/>
    <w:rsid w:val="00946B51"/>
    <w:rsid w:val="00956A88"/>
    <w:rsid w:val="00965C80"/>
    <w:rsid w:val="00971874"/>
    <w:rsid w:val="00972CFF"/>
    <w:rsid w:val="0098741A"/>
    <w:rsid w:val="009949E8"/>
    <w:rsid w:val="009B4EE8"/>
    <w:rsid w:val="009F44CF"/>
    <w:rsid w:val="009F5A7B"/>
    <w:rsid w:val="009F62E4"/>
    <w:rsid w:val="00A11377"/>
    <w:rsid w:val="00A14572"/>
    <w:rsid w:val="00A315F2"/>
    <w:rsid w:val="00A34171"/>
    <w:rsid w:val="00A6677E"/>
    <w:rsid w:val="00A735CA"/>
    <w:rsid w:val="00A85C20"/>
    <w:rsid w:val="00A91568"/>
    <w:rsid w:val="00A91F32"/>
    <w:rsid w:val="00AB4E87"/>
    <w:rsid w:val="00AB5CEE"/>
    <w:rsid w:val="00AB6941"/>
    <w:rsid w:val="00AC779A"/>
    <w:rsid w:val="00AD042F"/>
    <w:rsid w:val="00AD06AD"/>
    <w:rsid w:val="00AE035A"/>
    <w:rsid w:val="00AF74DF"/>
    <w:rsid w:val="00B277A0"/>
    <w:rsid w:val="00B673C7"/>
    <w:rsid w:val="00B801E9"/>
    <w:rsid w:val="00BA3891"/>
    <w:rsid w:val="00BB18FA"/>
    <w:rsid w:val="00BB1BBF"/>
    <w:rsid w:val="00BB50FB"/>
    <w:rsid w:val="00BB6FC1"/>
    <w:rsid w:val="00BC360D"/>
    <w:rsid w:val="00BD0F4C"/>
    <w:rsid w:val="00BE026F"/>
    <w:rsid w:val="00BE5A5E"/>
    <w:rsid w:val="00BF02A5"/>
    <w:rsid w:val="00BF21F7"/>
    <w:rsid w:val="00C27509"/>
    <w:rsid w:val="00C37B14"/>
    <w:rsid w:val="00C46DDA"/>
    <w:rsid w:val="00C47413"/>
    <w:rsid w:val="00C52584"/>
    <w:rsid w:val="00C853CF"/>
    <w:rsid w:val="00CB4201"/>
    <w:rsid w:val="00CD5C06"/>
    <w:rsid w:val="00CE710A"/>
    <w:rsid w:val="00D00096"/>
    <w:rsid w:val="00D003E0"/>
    <w:rsid w:val="00D035CF"/>
    <w:rsid w:val="00D160FB"/>
    <w:rsid w:val="00D20A27"/>
    <w:rsid w:val="00D3660D"/>
    <w:rsid w:val="00D47903"/>
    <w:rsid w:val="00D634FB"/>
    <w:rsid w:val="00D7354B"/>
    <w:rsid w:val="00D82E55"/>
    <w:rsid w:val="00D87F1F"/>
    <w:rsid w:val="00D90CFF"/>
    <w:rsid w:val="00DD20C7"/>
    <w:rsid w:val="00DD5C74"/>
    <w:rsid w:val="00DE185F"/>
    <w:rsid w:val="00E06395"/>
    <w:rsid w:val="00E1372E"/>
    <w:rsid w:val="00E27301"/>
    <w:rsid w:val="00E30047"/>
    <w:rsid w:val="00E4780C"/>
    <w:rsid w:val="00E50B54"/>
    <w:rsid w:val="00E61A0E"/>
    <w:rsid w:val="00EB2DA9"/>
    <w:rsid w:val="00EC4D94"/>
    <w:rsid w:val="00EE1136"/>
    <w:rsid w:val="00EE26BB"/>
    <w:rsid w:val="00EF0607"/>
    <w:rsid w:val="00EF3AD9"/>
    <w:rsid w:val="00F632F6"/>
    <w:rsid w:val="00F66D16"/>
    <w:rsid w:val="00FA1C5B"/>
    <w:rsid w:val="00FB5930"/>
    <w:rsid w:val="00FE7AEE"/>
    <w:rsid w:val="192859B7"/>
    <w:rsid w:val="1A307208"/>
    <w:rsid w:val="257B1667"/>
    <w:rsid w:val="29A38089"/>
    <w:rsid w:val="3B755EE7"/>
    <w:rsid w:val="41DE7C60"/>
    <w:rsid w:val="469199DA"/>
    <w:rsid w:val="622C80C4"/>
    <w:rsid w:val="65ECF92D"/>
    <w:rsid w:val="68F14FC9"/>
    <w:rsid w:val="6CB07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692FA"/>
  <w15:chartTrackingRefBased/>
  <w15:docId w15:val="{948E105A-E3B9-49FD-BF1B-5A074088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6570F8"/>
    <w:pPr>
      <w:keepNext/>
      <w:keepLines/>
      <w:spacing w:before="120" w:line="252" w:lineRule="auto"/>
      <w:jc w:val="both"/>
      <w:outlineLvl w:val="2"/>
    </w:pPr>
    <w:rPr>
      <w:rFonts w:asciiTheme="majorHAnsi" w:eastAsiaTheme="majorEastAsia" w:hAnsiTheme="majorHAnsi" w:cstheme="majorBid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107A4"/>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3107A4"/>
    <w:pPr>
      <w:tabs>
        <w:tab w:val="center" w:pos="4513"/>
        <w:tab w:val="right" w:pos="9026"/>
      </w:tabs>
    </w:pPr>
  </w:style>
  <w:style w:type="character" w:customStyle="1" w:styleId="HeaderChar">
    <w:name w:val="Header Char"/>
    <w:basedOn w:val="DefaultParagraphFont"/>
    <w:link w:val="Header"/>
    <w:uiPriority w:val="99"/>
    <w:rsid w:val="003107A4"/>
  </w:style>
  <w:style w:type="paragraph" w:styleId="Footer">
    <w:name w:val="footer"/>
    <w:basedOn w:val="Normal"/>
    <w:link w:val="FooterChar"/>
    <w:uiPriority w:val="99"/>
    <w:unhideWhenUsed/>
    <w:rsid w:val="003107A4"/>
    <w:pPr>
      <w:tabs>
        <w:tab w:val="center" w:pos="4513"/>
        <w:tab w:val="right" w:pos="9026"/>
      </w:tabs>
    </w:pPr>
  </w:style>
  <w:style w:type="character" w:customStyle="1" w:styleId="FooterChar">
    <w:name w:val="Footer Char"/>
    <w:basedOn w:val="DefaultParagraphFont"/>
    <w:link w:val="Footer"/>
    <w:uiPriority w:val="99"/>
    <w:rsid w:val="003107A4"/>
  </w:style>
  <w:style w:type="paragraph" w:customStyle="1" w:styleId="BasicParagraph">
    <w:name w:val="[Basic Paragraph]"/>
    <w:basedOn w:val="NoParagraphStyle"/>
    <w:uiPriority w:val="99"/>
    <w:rsid w:val="00EE26BB"/>
  </w:style>
  <w:style w:type="character" w:styleId="Hyperlink">
    <w:name w:val="Hyperlink"/>
    <w:basedOn w:val="DefaultParagraphFont"/>
    <w:uiPriority w:val="99"/>
    <w:unhideWhenUsed/>
    <w:rsid w:val="001E668C"/>
    <w:rPr>
      <w:color w:val="0563C1" w:themeColor="hyperlink"/>
      <w:u w:val="single"/>
    </w:rPr>
  </w:style>
  <w:style w:type="character" w:customStyle="1" w:styleId="UnresolvedMention1">
    <w:name w:val="Unresolved Mention1"/>
    <w:basedOn w:val="DefaultParagraphFont"/>
    <w:uiPriority w:val="99"/>
    <w:semiHidden/>
    <w:unhideWhenUsed/>
    <w:rsid w:val="001E668C"/>
    <w:rPr>
      <w:color w:val="605E5C"/>
      <w:shd w:val="clear" w:color="auto" w:fill="E1DFDD"/>
    </w:rPr>
  </w:style>
  <w:style w:type="character" w:styleId="CommentReference">
    <w:name w:val="annotation reference"/>
    <w:basedOn w:val="DefaultParagraphFont"/>
    <w:uiPriority w:val="99"/>
    <w:semiHidden/>
    <w:unhideWhenUsed/>
    <w:rsid w:val="007E4718"/>
    <w:rPr>
      <w:sz w:val="16"/>
      <w:szCs w:val="16"/>
    </w:rPr>
  </w:style>
  <w:style w:type="paragraph" w:styleId="CommentText">
    <w:name w:val="annotation text"/>
    <w:basedOn w:val="Normal"/>
    <w:link w:val="CommentTextChar"/>
    <w:uiPriority w:val="99"/>
    <w:unhideWhenUsed/>
    <w:rsid w:val="007E4718"/>
    <w:rPr>
      <w:sz w:val="20"/>
      <w:szCs w:val="20"/>
    </w:rPr>
  </w:style>
  <w:style w:type="character" w:customStyle="1" w:styleId="CommentTextChar">
    <w:name w:val="Comment Text Char"/>
    <w:basedOn w:val="DefaultParagraphFont"/>
    <w:link w:val="CommentText"/>
    <w:uiPriority w:val="99"/>
    <w:rsid w:val="007E4718"/>
    <w:rPr>
      <w:sz w:val="20"/>
      <w:szCs w:val="20"/>
    </w:rPr>
  </w:style>
  <w:style w:type="paragraph" w:styleId="CommentSubject">
    <w:name w:val="annotation subject"/>
    <w:basedOn w:val="CommentText"/>
    <w:next w:val="CommentText"/>
    <w:link w:val="CommentSubjectChar"/>
    <w:uiPriority w:val="99"/>
    <w:semiHidden/>
    <w:unhideWhenUsed/>
    <w:rsid w:val="007E4718"/>
    <w:rPr>
      <w:b/>
      <w:bCs/>
    </w:rPr>
  </w:style>
  <w:style w:type="character" w:customStyle="1" w:styleId="CommentSubjectChar">
    <w:name w:val="Comment Subject Char"/>
    <w:basedOn w:val="CommentTextChar"/>
    <w:link w:val="CommentSubject"/>
    <w:uiPriority w:val="99"/>
    <w:semiHidden/>
    <w:rsid w:val="007E4718"/>
    <w:rPr>
      <w:b/>
      <w:bCs/>
      <w:sz w:val="20"/>
      <w:szCs w:val="20"/>
    </w:rPr>
  </w:style>
  <w:style w:type="paragraph" w:styleId="BalloonText">
    <w:name w:val="Balloon Text"/>
    <w:basedOn w:val="Normal"/>
    <w:link w:val="BalloonTextChar"/>
    <w:uiPriority w:val="99"/>
    <w:semiHidden/>
    <w:unhideWhenUsed/>
    <w:rsid w:val="007E4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718"/>
    <w:rPr>
      <w:rFonts w:ascii="Segoe UI" w:hAnsi="Segoe UI" w:cs="Segoe UI"/>
      <w:sz w:val="18"/>
      <w:szCs w:val="18"/>
    </w:rPr>
  </w:style>
  <w:style w:type="character" w:customStyle="1" w:styleId="Heading3Char">
    <w:name w:val="Heading 3 Char"/>
    <w:basedOn w:val="DefaultParagraphFont"/>
    <w:link w:val="Heading3"/>
    <w:uiPriority w:val="9"/>
    <w:rsid w:val="006570F8"/>
    <w:rPr>
      <w:rFonts w:asciiTheme="majorHAnsi" w:eastAsiaTheme="majorEastAsia" w:hAnsiTheme="majorHAnsi" w:cstheme="majorBidi"/>
      <w:spacing w:val="4"/>
    </w:rPr>
  </w:style>
  <w:style w:type="table" w:styleId="TableGrid">
    <w:name w:val="Table Grid"/>
    <w:basedOn w:val="TableNormal"/>
    <w:uiPriority w:val="39"/>
    <w:rsid w:val="006570F8"/>
    <w:rPr>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570F8"/>
    <w:pPr>
      <w:spacing w:after="160" w:line="259" w:lineRule="auto"/>
      <w:ind w:left="720"/>
      <w:contextualSpacing/>
    </w:pPr>
    <w:rPr>
      <w:sz w:val="22"/>
      <w:szCs w:val="22"/>
      <w:lang w:val="en-IE"/>
    </w:rPr>
  </w:style>
  <w:style w:type="character" w:styleId="FollowedHyperlink">
    <w:name w:val="FollowedHyperlink"/>
    <w:basedOn w:val="DefaultParagraphFont"/>
    <w:uiPriority w:val="99"/>
    <w:semiHidden/>
    <w:unhideWhenUsed/>
    <w:rsid w:val="00BA3891"/>
    <w:rPr>
      <w:color w:val="954F72" w:themeColor="followedHyperlink"/>
      <w:u w:val="single"/>
    </w:rPr>
  </w:style>
  <w:style w:type="paragraph" w:customStyle="1" w:styleId="Default">
    <w:name w:val="Default"/>
    <w:rsid w:val="00906D5C"/>
    <w:pPr>
      <w:autoSpaceDE w:val="0"/>
      <w:autoSpaceDN w:val="0"/>
      <w:adjustRightInd w:val="0"/>
    </w:pPr>
    <w:rPr>
      <w:rFonts w:ascii="Calibri" w:hAnsi="Calibri" w:cs="Calibri"/>
      <w:color w:val="000000"/>
    </w:rPr>
  </w:style>
  <w:style w:type="paragraph" w:styleId="Revision">
    <w:name w:val="Revision"/>
    <w:hidden/>
    <w:uiPriority w:val="99"/>
    <w:semiHidden/>
    <w:rsid w:val="00BB18FA"/>
  </w:style>
  <w:style w:type="paragraph" w:styleId="NormalWeb">
    <w:name w:val="Normal (Web)"/>
    <w:basedOn w:val="Normal"/>
    <w:uiPriority w:val="99"/>
    <w:semiHidden/>
    <w:unhideWhenUsed/>
    <w:rsid w:val="003A2EC2"/>
    <w:pPr>
      <w:spacing w:before="100" w:beforeAutospacing="1" w:after="100" w:afterAutospacing="1"/>
    </w:pPr>
    <w:rPr>
      <w:rFonts w:ascii="Times New Roman" w:eastAsia="Times New Roman" w:hAnsi="Times New Roman" w:cs="Times New Roman"/>
      <w:lang w:val="en-IE" w:eastAsia="en-IE"/>
    </w:rPr>
  </w:style>
  <w:style w:type="character" w:styleId="PageNumber">
    <w:name w:val="page number"/>
    <w:basedOn w:val="DefaultParagraphFont"/>
    <w:uiPriority w:val="99"/>
    <w:semiHidden/>
    <w:unhideWhenUsed/>
    <w:rsid w:val="00404390"/>
  </w:style>
  <w:style w:type="character" w:customStyle="1" w:styleId="normaltextrun">
    <w:name w:val="normaltextrun"/>
    <w:basedOn w:val="DefaultParagraphFont"/>
    <w:rsid w:val="008D301B"/>
  </w:style>
  <w:style w:type="character" w:customStyle="1" w:styleId="apple-converted-space">
    <w:name w:val="apple-converted-space"/>
    <w:basedOn w:val="DefaultParagraphFont"/>
    <w:rsid w:val="008D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qi.ie/sites/default/files/2021-10/early-exploration-into-micro-credentials-in-higher-education-2014-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H0627%2802%29"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B41BF4BFB724498FE817D06F83A0B" ma:contentTypeVersion="3" ma:contentTypeDescription="Create a new document." ma:contentTypeScope="" ma:versionID="201b76d5e46657bca64f0dedf81cfacb">
  <xsd:schema xmlns:xsd="http://www.w3.org/2001/XMLSchema" xmlns:xs="http://www.w3.org/2001/XMLSchema" xmlns:p="http://schemas.microsoft.com/office/2006/metadata/properties" xmlns:ns2="2eb2025f-ee1f-4f75-b5a9-ef600236b69c" targetNamespace="http://schemas.microsoft.com/office/2006/metadata/properties" ma:root="true" ma:fieldsID="f9b423a22a606c7f63b05f53c0ac77e0" ns2:_="">
    <xsd:import namespace="2eb2025f-ee1f-4f75-b5a9-ef600236b6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2025f-ee1f-4f75-b5a9-ef600236b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03D3D-03AA-4B41-B62F-B5537EA07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2025f-ee1f-4f75-b5a9-ef600236b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04D82-8CD8-44E8-92C0-5A1EDE6D3BAF}">
  <ds:schemaRefs>
    <ds:schemaRef ds:uri="http://schemas.microsoft.com/sharepoint/v3/contenttype/forms"/>
  </ds:schemaRefs>
</ds:datastoreItem>
</file>

<file path=customXml/itemProps3.xml><?xml version="1.0" encoding="utf-8"?>
<ds:datastoreItem xmlns:ds="http://schemas.openxmlformats.org/officeDocument/2006/customXml" ds:itemID="{663C44F3-91C4-4D65-8ADB-FC1857C527A5}">
  <ds:schemaRefs>
    <ds:schemaRef ds:uri="http://schemas.openxmlformats.org/officeDocument/2006/bibliography"/>
  </ds:schemaRefs>
</ds:datastoreItem>
</file>

<file path=customXml/itemProps4.xml><?xml version="1.0" encoding="utf-8"?>
<ds:datastoreItem xmlns:ds="http://schemas.openxmlformats.org/officeDocument/2006/customXml" ds:itemID="{2ECB977C-038E-452F-A963-8B325EC4B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1725</Words>
  <Characters>9838</Characters>
  <Application>Microsoft Office Word</Application>
  <DocSecurity>0</DocSecurity>
  <Lines>81</Lines>
  <Paragraphs>23</Paragraphs>
  <ScaleCrop>false</ScaleCrop>
  <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McGuinn, Nuala</cp:lastModifiedBy>
  <cp:revision>3</cp:revision>
  <cp:lastPrinted>2026-01-22T09:21:00Z</cp:lastPrinted>
  <dcterms:created xsi:type="dcterms:W3CDTF">2026-01-29T10:38:00Z</dcterms:created>
  <dcterms:modified xsi:type="dcterms:W3CDTF">2026-01-29T10:39:00Z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0x010100ECDB41BF4BFB724498FE817D06F83A0B</vt:lpwstr>
  </property>
  <property fmtid="{D5CDD505-2E9C-101B-9397-08002B2CF9AE}" pid="3" name="MediaServiceImageTags">
    <vt:lpwstr/>
  </property>
  <property fmtid="{D5CDD505-2E9C-101B-9397-08002B2CF9AE}" pid="4" name="GrammarlyDocumentId">
    <vt:lpwstr>e751c89d-1e18-490a-9d8b-e422e382252b</vt:lpwstr>
  </property>
</Properties>
</file>