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BF5A75" w14:textId="4F74883D" w:rsidR="00EB106D" w:rsidRDefault="003A4644" w:rsidP="006678AC">
      <w:pPr>
        <w:pStyle w:val="Heading1"/>
        <w:rPr>
          <w:b/>
          <w:color w:val="auto"/>
        </w:rPr>
      </w:pPr>
      <w:r w:rsidRPr="000B0680">
        <w:rPr>
          <w:b/>
          <w:color w:val="auto"/>
        </w:rPr>
        <w:t>The Health Research Regulations 2018</w:t>
      </w:r>
      <w:r w:rsidR="00EB106D" w:rsidRPr="000B0680">
        <w:rPr>
          <w:b/>
          <w:color w:val="auto"/>
        </w:rPr>
        <w:t>:</w:t>
      </w:r>
      <w:r w:rsidR="00EB106D" w:rsidRPr="000B0680">
        <w:rPr>
          <w:b/>
          <w:color w:val="auto"/>
        </w:rPr>
        <w:br/>
      </w:r>
      <w:r w:rsidR="008D01FA">
        <w:rPr>
          <w:b/>
          <w:color w:val="auto"/>
        </w:rPr>
        <w:t>Explicit Consent Checklist</w:t>
      </w:r>
    </w:p>
    <w:p w14:paraId="449B6C71" w14:textId="77777777" w:rsidR="006678AC" w:rsidRPr="006678AC" w:rsidRDefault="006678AC" w:rsidP="006678AC"/>
    <w:p w14:paraId="5E0BBAE2" w14:textId="4F500A2D" w:rsidR="00EB106D" w:rsidRDefault="00EB106D" w:rsidP="00A83A3F">
      <w:pPr>
        <w:spacing w:after="240"/>
        <w:jc w:val="both"/>
      </w:pPr>
      <w:r>
        <w:t xml:space="preserve">The </w:t>
      </w:r>
      <w:hyperlink r:id="rId8" w:history="1">
        <w:r w:rsidRPr="008D01FA">
          <w:rPr>
            <w:rStyle w:val="Hyperlink"/>
          </w:rPr>
          <w:t>Health Research Regulations 2018</w:t>
        </w:r>
      </w:hyperlink>
      <w:r w:rsidR="0037534E">
        <w:t xml:space="preserve"> which came into operation on 8 August 2018 </w:t>
      </w:r>
      <w:r>
        <w:t xml:space="preserve"> require that </w:t>
      </w:r>
      <w:r w:rsidR="00BF2559">
        <w:t xml:space="preserve">those who are processing personal data for the purposes of health research shall ensure that a number of measures are taken to safeguard the fundamental rights and freedoms of the data subject (i.e. research participant). One such required measure is to obtain the </w:t>
      </w:r>
      <w:r w:rsidR="00BF2559" w:rsidRPr="008437A9">
        <w:rPr>
          <w:b/>
        </w:rPr>
        <w:t>explicit consent</w:t>
      </w:r>
      <w:r w:rsidR="00BF2559">
        <w:t xml:space="preserve"> of the data subject for the processing of their personal data for the purpose o</w:t>
      </w:r>
      <w:r w:rsidR="00962E3B">
        <w:t>f the specified health research</w:t>
      </w:r>
      <w:r w:rsidR="00AC5BEA">
        <w:t xml:space="preserve"> prior to the commencement of the research </w:t>
      </w:r>
      <w:r w:rsidR="008D01FA">
        <w:t>(see definition of this term below)</w:t>
      </w:r>
      <w:r>
        <w:t xml:space="preserve">. The only limited exception to </w:t>
      </w:r>
      <w:r w:rsidR="008D01FA">
        <w:t>the requirement to obtain explicit consent</w:t>
      </w:r>
      <w:r>
        <w:t xml:space="preserve"> is if </w:t>
      </w:r>
      <w:r w:rsidR="00AC5BEA">
        <w:t xml:space="preserve">researchers </w:t>
      </w:r>
      <w:r>
        <w:t>have obtained a “consent declaration</w:t>
      </w:r>
      <w:r w:rsidR="008D01FA">
        <w:t>”</w:t>
      </w:r>
      <w:r>
        <w:t xml:space="preserve"> under the Health Research Regulations 2018.</w:t>
      </w:r>
    </w:p>
    <w:p w14:paraId="67B02792" w14:textId="4081B744" w:rsidR="003158E2" w:rsidRDefault="004D3527" w:rsidP="006678AC">
      <w:pPr>
        <w:jc w:val="both"/>
      </w:pPr>
      <w:r w:rsidRPr="004D3527">
        <w:t xml:space="preserve">This checklist is for use by researchers who are carrying out </w:t>
      </w:r>
      <w:r w:rsidRPr="004D3527">
        <w:rPr>
          <w:b/>
        </w:rPr>
        <w:t>health research</w:t>
      </w:r>
      <w:r w:rsidRPr="004D3527">
        <w:t xml:space="preserve"> to establish if the consent they have received from research participants is </w:t>
      </w:r>
      <w:proofErr w:type="gramStart"/>
      <w:r w:rsidRPr="004D3527">
        <w:t>sufficient</w:t>
      </w:r>
      <w:proofErr w:type="gramEnd"/>
      <w:r w:rsidRPr="004D3527">
        <w:t xml:space="preserve"> to meet the requirements of the Health Research Regulations.</w:t>
      </w:r>
    </w:p>
    <w:p w14:paraId="6A4DCCA2" w14:textId="07075CD9" w:rsidR="00C0709E" w:rsidRDefault="00432119" w:rsidP="00A83A3F">
      <w:pPr>
        <w:spacing w:after="240"/>
        <w:jc w:val="both"/>
        <w:rPr>
          <w:rStyle w:val="Hyperlink"/>
        </w:rPr>
      </w:pPr>
      <w:r>
        <w:t>I</w:t>
      </w:r>
      <w:r w:rsidR="0005733C">
        <w:t>f you are carrying out health research, p</w:t>
      </w:r>
      <w:r w:rsidR="003A4644">
        <w:t xml:space="preserve">lease </w:t>
      </w:r>
      <w:r>
        <w:t xml:space="preserve">ensure </w:t>
      </w:r>
      <w:r w:rsidR="003158E2">
        <w:t xml:space="preserve">your  </w:t>
      </w:r>
      <w:r w:rsidR="006C744F">
        <w:t xml:space="preserve">participant information leaflet/informed consent </w:t>
      </w:r>
      <w:r w:rsidR="00C62F1A">
        <w:t xml:space="preserve">(PIL/IC) </w:t>
      </w:r>
      <w:r w:rsidR="006C744F">
        <w:t>form</w:t>
      </w:r>
      <w:r w:rsidR="003A4644">
        <w:t xml:space="preserve"> </w:t>
      </w:r>
      <w:r w:rsidR="003158E2">
        <w:t xml:space="preserve"> in your health research project </w:t>
      </w:r>
      <w:r>
        <w:t xml:space="preserve">meets the requirements of </w:t>
      </w:r>
      <w:r w:rsidR="003158E2">
        <w:t xml:space="preserve"> </w:t>
      </w:r>
      <w:r w:rsidR="003A4644">
        <w:t>the checklist</w:t>
      </w:r>
      <w:r w:rsidR="0005733C">
        <w:t xml:space="preserve"> below</w:t>
      </w:r>
      <w:r w:rsidR="003A4644">
        <w:t xml:space="preserve"> to </w:t>
      </w:r>
      <w:proofErr w:type="gramStart"/>
      <w:r>
        <w:t xml:space="preserve">confirm </w:t>
      </w:r>
      <w:r w:rsidR="003A4644">
        <w:t xml:space="preserve"> you</w:t>
      </w:r>
      <w:proofErr w:type="gramEnd"/>
      <w:r w:rsidR="003A4644">
        <w:t xml:space="preserve"> have explicit consent in line with the Health Research Regulation</w:t>
      </w:r>
      <w:r w:rsidR="003158E2">
        <w:t>s</w:t>
      </w:r>
      <w:r w:rsidR="004271DD">
        <w:t xml:space="preserve"> and GDPR</w:t>
      </w:r>
      <w:r w:rsidR="003A4644">
        <w:t>.</w:t>
      </w:r>
      <w:r w:rsidR="003158E2">
        <w:t xml:space="preserve"> </w:t>
      </w:r>
      <w:r w:rsidR="00962E3B">
        <w:t>I</w:t>
      </w:r>
      <w:r w:rsidR="0086105A">
        <w:t>n order to have valid explicit consent, y</w:t>
      </w:r>
      <w:r w:rsidR="003158E2">
        <w:t xml:space="preserve">ou must be able to respond </w:t>
      </w:r>
      <w:r w:rsidR="00020D74">
        <w:t>“</w:t>
      </w:r>
      <w:r w:rsidR="003158E2">
        <w:t>yes</w:t>
      </w:r>
      <w:r w:rsidR="00020D74">
        <w:t>”</w:t>
      </w:r>
      <w:r w:rsidR="003158E2">
        <w:t xml:space="preserve"> to </w:t>
      </w:r>
      <w:proofErr w:type="gramStart"/>
      <w:r w:rsidR="003158E2">
        <w:t>all of</w:t>
      </w:r>
      <w:proofErr w:type="gramEnd"/>
      <w:r w:rsidR="003158E2">
        <w:t xml:space="preserve"> the questions </w:t>
      </w:r>
      <w:r w:rsidR="00020D74">
        <w:t>(</w:t>
      </w:r>
      <w:r w:rsidR="003158E2">
        <w:t xml:space="preserve">save for questions </w:t>
      </w:r>
      <w:r w:rsidR="00EB0C9D">
        <w:t xml:space="preserve">5, </w:t>
      </w:r>
      <w:r w:rsidR="003158E2">
        <w:t>10 and 11</w:t>
      </w:r>
      <w:r w:rsidR="00020D74">
        <w:t xml:space="preserve"> unless they are applicable)</w:t>
      </w:r>
      <w:r w:rsidR="003158E2">
        <w:t xml:space="preserve">. If you are not able to respond </w:t>
      </w:r>
      <w:r w:rsidR="00020D74">
        <w:t>“</w:t>
      </w:r>
      <w:r w:rsidR="003158E2">
        <w:t>yes</w:t>
      </w:r>
      <w:r w:rsidR="00020D74">
        <w:t>”</w:t>
      </w:r>
      <w:r w:rsidR="003158E2">
        <w:t xml:space="preserve"> to each, you will need to </w:t>
      </w:r>
      <w:r w:rsidR="00020D74">
        <w:t xml:space="preserve">follow the process for seeking a consent declaration: </w:t>
      </w:r>
      <w:hyperlink r:id="rId9" w:history="1">
        <w:r w:rsidR="00020D74" w:rsidRPr="00A85890">
          <w:rPr>
            <w:rStyle w:val="Hyperlink"/>
          </w:rPr>
          <w:t>https://www.hrb.ie/funding/gdpr-guidance-for-researchers/gdpr-and-health-research/consent/consent-declaration/</w:t>
        </w:r>
      </w:hyperlink>
      <w:r w:rsidR="00962E3B">
        <w:rPr>
          <w:rStyle w:val="Hyperlink"/>
        </w:rPr>
        <w:t xml:space="preserve">. </w:t>
      </w:r>
    </w:p>
    <w:p w14:paraId="7EFF33A3" w14:textId="496AD0EC" w:rsidR="003158E2" w:rsidRPr="00815816" w:rsidRDefault="003158E2" w:rsidP="003158E2">
      <w:pPr>
        <w:jc w:val="center"/>
        <w:rPr>
          <w:b/>
        </w:rPr>
      </w:pPr>
      <w:r>
        <w:rPr>
          <w:b/>
        </w:rPr>
        <w:t>Checklist</w:t>
      </w:r>
    </w:p>
    <w:tbl>
      <w:tblPr>
        <w:tblStyle w:val="TableGrid"/>
        <w:tblW w:w="0" w:type="auto"/>
        <w:tblLook w:val="04A0" w:firstRow="1" w:lastRow="0" w:firstColumn="1" w:lastColumn="0" w:noHBand="0" w:noVBand="1"/>
      </w:tblPr>
      <w:tblGrid>
        <w:gridCol w:w="6799"/>
        <w:gridCol w:w="2217"/>
      </w:tblGrid>
      <w:tr w:rsidR="003A58E4" w14:paraId="7A2916C7" w14:textId="77777777" w:rsidTr="00BC37EF">
        <w:tc>
          <w:tcPr>
            <w:tcW w:w="6799" w:type="dxa"/>
          </w:tcPr>
          <w:p w14:paraId="1F6CF1F2" w14:textId="77777777" w:rsidR="003A58E4" w:rsidRPr="00C0709E" w:rsidRDefault="003A58E4" w:rsidP="003A58E4">
            <w:pPr>
              <w:rPr>
                <w:b/>
              </w:rPr>
            </w:pPr>
            <w:r w:rsidRPr="00C0709E">
              <w:rPr>
                <w:b/>
              </w:rPr>
              <w:t>GDPR Consent Requirements</w:t>
            </w:r>
          </w:p>
          <w:p w14:paraId="318AA2F6" w14:textId="77777777" w:rsidR="003A58E4" w:rsidRPr="003A58E4" w:rsidRDefault="003A58E4">
            <w:pPr>
              <w:rPr>
                <w:b/>
                <w:highlight w:val="yellow"/>
              </w:rPr>
            </w:pPr>
          </w:p>
        </w:tc>
        <w:tc>
          <w:tcPr>
            <w:tcW w:w="2217" w:type="dxa"/>
          </w:tcPr>
          <w:p w14:paraId="27736D23" w14:textId="77777777" w:rsidR="00C0709E" w:rsidRDefault="003A58E4">
            <w:pPr>
              <w:rPr>
                <w:b/>
              </w:rPr>
            </w:pPr>
            <w:r w:rsidRPr="00C0709E">
              <w:rPr>
                <w:b/>
              </w:rPr>
              <w:t xml:space="preserve">Insert Yes/No </w:t>
            </w:r>
          </w:p>
          <w:p w14:paraId="2E9A8D3D" w14:textId="0532AA26" w:rsidR="003A58E4" w:rsidRPr="003A58E4" w:rsidRDefault="003A4644">
            <w:pPr>
              <w:rPr>
                <w:b/>
                <w:highlight w:val="yellow"/>
              </w:rPr>
            </w:pPr>
            <w:r w:rsidRPr="00C0709E">
              <w:rPr>
                <w:b/>
              </w:rPr>
              <w:t>(</w:t>
            </w:r>
            <w:r w:rsidR="003A58E4" w:rsidRPr="00C0709E">
              <w:rPr>
                <w:b/>
              </w:rPr>
              <w:t>or not applicable</w:t>
            </w:r>
            <w:r w:rsidR="003158E2" w:rsidRPr="00C0709E">
              <w:rPr>
                <w:b/>
              </w:rPr>
              <w:t xml:space="preserve"> if required under Questions </w:t>
            </w:r>
            <w:r w:rsidR="00CD349D">
              <w:rPr>
                <w:b/>
              </w:rPr>
              <w:t>6 and</w:t>
            </w:r>
            <w:r w:rsidR="00C0709E">
              <w:rPr>
                <w:b/>
              </w:rPr>
              <w:t xml:space="preserve"> </w:t>
            </w:r>
            <w:r w:rsidR="003158E2" w:rsidRPr="00C0709E">
              <w:rPr>
                <w:b/>
              </w:rPr>
              <w:t>10</w:t>
            </w:r>
            <w:r w:rsidRPr="00C0709E">
              <w:rPr>
                <w:b/>
              </w:rPr>
              <w:t>)</w:t>
            </w:r>
          </w:p>
        </w:tc>
      </w:tr>
      <w:tr w:rsidR="003A58E4" w14:paraId="00293DFB" w14:textId="77777777" w:rsidTr="00BC37EF">
        <w:tc>
          <w:tcPr>
            <w:tcW w:w="6799" w:type="dxa"/>
          </w:tcPr>
          <w:p w14:paraId="155BC449" w14:textId="3A1C5F56" w:rsidR="003A58E4" w:rsidRDefault="003A58E4" w:rsidP="003A58E4">
            <w:pPr>
              <w:pStyle w:val="ListParagraph"/>
              <w:numPr>
                <w:ilvl w:val="0"/>
                <w:numId w:val="1"/>
              </w:numPr>
              <w:jc w:val="both"/>
              <w:rPr>
                <w:b/>
              </w:rPr>
            </w:pPr>
            <w:r w:rsidRPr="003A58E4">
              <w:rPr>
                <w:b/>
              </w:rPr>
              <w:t>Has the data subject</w:t>
            </w:r>
            <w:r w:rsidR="00EB106D">
              <w:rPr>
                <w:b/>
              </w:rPr>
              <w:t xml:space="preserve"> (research participant)</w:t>
            </w:r>
            <w:r w:rsidRPr="003A58E4">
              <w:rPr>
                <w:b/>
              </w:rPr>
              <w:t xml:space="preserve"> given an unambiguous indication of her/his wishes? </w:t>
            </w:r>
          </w:p>
          <w:p w14:paraId="4072E645" w14:textId="77777777" w:rsidR="00C0709E" w:rsidRPr="003A58E4" w:rsidRDefault="00C0709E" w:rsidP="00C0709E">
            <w:pPr>
              <w:pStyle w:val="ListParagraph"/>
              <w:ind w:left="360"/>
              <w:jc w:val="both"/>
              <w:rPr>
                <w:b/>
              </w:rPr>
            </w:pPr>
          </w:p>
          <w:p w14:paraId="7C85DEE3" w14:textId="4574A1FA" w:rsidR="003A58E4" w:rsidRPr="00C0709E" w:rsidRDefault="003A58E4" w:rsidP="007D32FB">
            <w:pPr>
              <w:jc w:val="both"/>
              <w:rPr>
                <w:i/>
              </w:rPr>
            </w:pPr>
            <w:r w:rsidRPr="00C0709E">
              <w:rPr>
                <w:i/>
              </w:rPr>
              <w:t>The GDPR is clear that consent requires a statement from the data subject or a clear affirmative act</w:t>
            </w:r>
            <w:r w:rsidR="0005733C" w:rsidRPr="00C0709E">
              <w:rPr>
                <w:i/>
              </w:rPr>
              <w:t>,</w:t>
            </w:r>
            <w:r w:rsidRPr="00C0709E">
              <w:rPr>
                <w:i/>
              </w:rPr>
              <w:t xml:space="preserve"> which means that </w:t>
            </w:r>
            <w:r w:rsidR="0005733C" w:rsidRPr="00C0709E">
              <w:rPr>
                <w:i/>
              </w:rPr>
              <w:t xml:space="preserve">the data subject must have taken a deliberate action to consent to the </w:t>
            </w:r>
            <w:proofErr w:type="gramStart"/>
            <w:r w:rsidR="0005733C" w:rsidRPr="00C0709E">
              <w:rPr>
                <w:i/>
              </w:rPr>
              <w:t>particular processing</w:t>
            </w:r>
            <w:proofErr w:type="gramEnd"/>
            <w:r w:rsidRPr="00C0709E">
              <w:rPr>
                <w:i/>
              </w:rPr>
              <w:t xml:space="preserve">.  It must be obvious that the data subject has consented to the </w:t>
            </w:r>
            <w:proofErr w:type="gramStart"/>
            <w:r w:rsidRPr="00C0709E">
              <w:rPr>
                <w:i/>
              </w:rPr>
              <w:t>particular processing</w:t>
            </w:r>
            <w:proofErr w:type="gramEnd"/>
            <w:r w:rsidRPr="00C0709E">
              <w:rPr>
                <w:i/>
              </w:rPr>
              <w:t xml:space="preserve">. </w:t>
            </w:r>
          </w:p>
          <w:p w14:paraId="36C49769" w14:textId="77777777" w:rsidR="003A58E4" w:rsidRDefault="003A58E4" w:rsidP="007D32FB">
            <w:pPr>
              <w:jc w:val="both"/>
            </w:pPr>
          </w:p>
        </w:tc>
        <w:tc>
          <w:tcPr>
            <w:tcW w:w="2217" w:type="dxa"/>
          </w:tcPr>
          <w:p w14:paraId="2EF1752E" w14:textId="77777777" w:rsidR="003A58E4" w:rsidRDefault="003A58E4" w:rsidP="007D32FB"/>
        </w:tc>
      </w:tr>
      <w:tr w:rsidR="00815816" w14:paraId="11794484" w14:textId="77777777" w:rsidTr="00BC37EF">
        <w:tc>
          <w:tcPr>
            <w:tcW w:w="6799" w:type="dxa"/>
          </w:tcPr>
          <w:p w14:paraId="493B789C" w14:textId="7B933D8D" w:rsidR="00815816" w:rsidRDefault="00815816" w:rsidP="003A58E4">
            <w:pPr>
              <w:pStyle w:val="ListParagraph"/>
              <w:numPr>
                <w:ilvl w:val="0"/>
                <w:numId w:val="1"/>
              </w:numPr>
              <w:rPr>
                <w:b/>
              </w:rPr>
            </w:pPr>
            <w:r w:rsidRPr="003A58E4">
              <w:rPr>
                <w:b/>
              </w:rPr>
              <w:t xml:space="preserve">Has the consent been freely given? </w:t>
            </w:r>
          </w:p>
          <w:p w14:paraId="5AAD4F72" w14:textId="77777777" w:rsidR="00C0709E" w:rsidRPr="003A58E4" w:rsidRDefault="00C0709E" w:rsidP="00C0709E">
            <w:pPr>
              <w:pStyle w:val="ListParagraph"/>
              <w:ind w:left="360"/>
              <w:rPr>
                <w:b/>
              </w:rPr>
            </w:pPr>
          </w:p>
          <w:p w14:paraId="098EDBE2" w14:textId="79E58E5D" w:rsidR="00815816" w:rsidRDefault="00815816" w:rsidP="00815816">
            <w:pPr>
              <w:jc w:val="both"/>
              <w:rPr>
                <w:i/>
              </w:rPr>
            </w:pPr>
            <w:r w:rsidRPr="00041A24">
              <w:t>“</w:t>
            </w:r>
            <w:r w:rsidR="00FD5ECE" w:rsidRPr="00C0709E">
              <w:rPr>
                <w:i/>
              </w:rPr>
              <w:t>F</w:t>
            </w:r>
            <w:r w:rsidRPr="00C0709E">
              <w:rPr>
                <w:i/>
              </w:rPr>
              <w:t>ree</w:t>
            </w:r>
            <w:r w:rsidR="00FD5ECE" w:rsidRPr="00C0709E">
              <w:rPr>
                <w:i/>
              </w:rPr>
              <w:t>ly given</w:t>
            </w:r>
            <w:r w:rsidRPr="00C0709E">
              <w:rPr>
                <w:i/>
              </w:rPr>
              <w:t xml:space="preserve">” implies real choice and control for data subjects. </w:t>
            </w:r>
            <w:proofErr w:type="gramStart"/>
            <w:r w:rsidRPr="00C0709E">
              <w:rPr>
                <w:i/>
              </w:rPr>
              <w:t>As a general rule</w:t>
            </w:r>
            <w:proofErr w:type="gramEnd"/>
            <w:r w:rsidRPr="00C0709E">
              <w:rPr>
                <w:i/>
              </w:rPr>
              <w:t xml:space="preserve">, the GDPR prescribes that if the data subject has no real choice, feels compelled to consent or will endure negative consequences if they do not consent, then consent will not be valid. </w:t>
            </w:r>
          </w:p>
          <w:p w14:paraId="769383BD" w14:textId="1431D08A" w:rsidR="00627F43" w:rsidRDefault="00627F43" w:rsidP="00815816">
            <w:pPr>
              <w:jc w:val="both"/>
              <w:rPr>
                <w:i/>
              </w:rPr>
            </w:pPr>
          </w:p>
          <w:p w14:paraId="561A00BE" w14:textId="41B5F2A7" w:rsidR="00627F43" w:rsidRPr="00627F43" w:rsidRDefault="00627F43" w:rsidP="00815816">
            <w:pPr>
              <w:jc w:val="both"/>
              <w:rPr>
                <w:i/>
                <w:iCs/>
              </w:rPr>
            </w:pPr>
            <w:r>
              <w:rPr>
                <w:i/>
              </w:rPr>
              <w:lastRenderedPageBreak/>
              <w:t xml:space="preserve">A phrase such as </w:t>
            </w:r>
            <w:r w:rsidRPr="00627F43">
              <w:rPr>
                <w:i/>
                <w:iCs/>
              </w:rPr>
              <w:t>“your participation is entirely voluntary, and your care will in no way be affected if you chose not to participate/chose to withdraw” would suffice.</w:t>
            </w:r>
          </w:p>
          <w:p w14:paraId="48961B7B" w14:textId="77777777" w:rsidR="003A58E4" w:rsidRDefault="003A58E4" w:rsidP="00815816">
            <w:pPr>
              <w:jc w:val="both"/>
            </w:pPr>
          </w:p>
        </w:tc>
        <w:tc>
          <w:tcPr>
            <w:tcW w:w="2217" w:type="dxa"/>
          </w:tcPr>
          <w:p w14:paraId="41A9283B" w14:textId="77777777" w:rsidR="00815816" w:rsidRDefault="00815816"/>
        </w:tc>
      </w:tr>
      <w:tr w:rsidR="00815816" w14:paraId="1E6B00AB" w14:textId="77777777" w:rsidTr="00BC37EF">
        <w:tc>
          <w:tcPr>
            <w:tcW w:w="6799" w:type="dxa"/>
          </w:tcPr>
          <w:p w14:paraId="744630B3" w14:textId="45CDA0C1" w:rsidR="00815816" w:rsidRDefault="00FD5ECE" w:rsidP="003A58E4">
            <w:pPr>
              <w:pStyle w:val="ListParagraph"/>
              <w:numPr>
                <w:ilvl w:val="0"/>
                <w:numId w:val="1"/>
              </w:numPr>
              <w:jc w:val="both"/>
              <w:rPr>
                <w:b/>
              </w:rPr>
            </w:pPr>
            <w:r>
              <w:rPr>
                <w:b/>
              </w:rPr>
              <w:t>Have you ensured that there is no imbalance of power</w:t>
            </w:r>
            <w:r w:rsidR="00A83A3F">
              <w:rPr>
                <w:b/>
              </w:rPr>
              <w:t xml:space="preserve"> </w:t>
            </w:r>
            <w:r w:rsidR="003A4644">
              <w:rPr>
                <w:b/>
              </w:rPr>
              <w:t>when seeking consent</w:t>
            </w:r>
            <w:r w:rsidR="00716D38" w:rsidRPr="003A58E4">
              <w:rPr>
                <w:b/>
              </w:rPr>
              <w:t>?</w:t>
            </w:r>
            <w:r w:rsidR="00815816" w:rsidRPr="003A58E4">
              <w:rPr>
                <w:b/>
              </w:rPr>
              <w:t xml:space="preserve"> </w:t>
            </w:r>
          </w:p>
          <w:p w14:paraId="7C9CEBDE" w14:textId="77777777" w:rsidR="00C0709E" w:rsidRPr="003A58E4" w:rsidRDefault="00C0709E" w:rsidP="00C0709E">
            <w:pPr>
              <w:pStyle w:val="ListParagraph"/>
              <w:ind w:left="360"/>
              <w:jc w:val="both"/>
              <w:rPr>
                <w:b/>
              </w:rPr>
            </w:pPr>
          </w:p>
          <w:p w14:paraId="43C73E6F" w14:textId="199C148D" w:rsidR="003A58E4" w:rsidRDefault="00815816" w:rsidP="00815816">
            <w:pPr>
              <w:jc w:val="both"/>
              <w:rPr>
                <w:i/>
              </w:rPr>
            </w:pPr>
            <w:r w:rsidRPr="00C0709E">
              <w:rPr>
                <w:i/>
              </w:rPr>
              <w:t>Consent can only be valid if the data subject is able to exercise a real choice, and there is no risk of deception, intimidation, coercion or significant negative consequences (e.g. extra costs) if he/she does not consent.</w:t>
            </w:r>
          </w:p>
          <w:p w14:paraId="14398762" w14:textId="77777777" w:rsidR="006678AC" w:rsidRDefault="006678AC" w:rsidP="006678AC">
            <w:pPr>
              <w:rPr>
                <w:i/>
                <w:iCs/>
              </w:rPr>
            </w:pPr>
          </w:p>
          <w:p w14:paraId="43E8F8F4" w14:textId="668B0C0D" w:rsidR="00815816" w:rsidRDefault="006678AC" w:rsidP="006102D4">
            <w:pPr>
              <w:jc w:val="both"/>
              <w:rPr>
                <w:i/>
                <w:iCs/>
              </w:rPr>
            </w:pPr>
            <w:r>
              <w:rPr>
                <w:i/>
                <w:iCs/>
              </w:rPr>
              <w:t>Please note that t</w:t>
            </w:r>
            <w:r w:rsidRPr="006678AC">
              <w:rPr>
                <w:i/>
                <w:iCs/>
              </w:rPr>
              <w:t xml:space="preserve">he safeguards that should be embedded in all research projects </w:t>
            </w:r>
            <w:r>
              <w:rPr>
                <w:i/>
                <w:iCs/>
              </w:rPr>
              <w:t>are for the purposes of</w:t>
            </w:r>
            <w:r w:rsidRPr="006678AC">
              <w:rPr>
                <w:i/>
                <w:iCs/>
              </w:rPr>
              <w:t xml:space="preserve"> negat</w:t>
            </w:r>
            <w:r>
              <w:rPr>
                <w:i/>
                <w:iCs/>
              </w:rPr>
              <w:t>ing</w:t>
            </w:r>
            <w:r w:rsidRPr="006678AC">
              <w:rPr>
                <w:i/>
                <w:iCs/>
              </w:rPr>
              <w:t xml:space="preserve"> any perceived </w:t>
            </w:r>
            <w:r>
              <w:rPr>
                <w:i/>
                <w:iCs/>
              </w:rPr>
              <w:t>“</w:t>
            </w:r>
            <w:r w:rsidRPr="006678AC">
              <w:rPr>
                <w:i/>
                <w:iCs/>
              </w:rPr>
              <w:t>imbalance of power</w:t>
            </w:r>
            <w:r>
              <w:rPr>
                <w:i/>
                <w:iCs/>
              </w:rPr>
              <w:t>”</w:t>
            </w:r>
            <w:r w:rsidR="006102D4">
              <w:rPr>
                <w:i/>
                <w:iCs/>
              </w:rPr>
              <w:t>. These safeguards should include for example</w:t>
            </w:r>
            <w:r>
              <w:rPr>
                <w:i/>
                <w:iCs/>
              </w:rPr>
              <w:t xml:space="preserve"> the provision of</w:t>
            </w:r>
            <w:r w:rsidR="006102D4">
              <w:rPr>
                <w:i/>
                <w:iCs/>
              </w:rPr>
              <w:t xml:space="preserve"> real</w:t>
            </w:r>
            <w:r w:rsidRPr="006678AC">
              <w:rPr>
                <w:i/>
                <w:iCs/>
              </w:rPr>
              <w:t xml:space="preserve"> patient choice</w:t>
            </w:r>
            <w:r>
              <w:rPr>
                <w:i/>
                <w:iCs/>
              </w:rPr>
              <w:t xml:space="preserve">, a GDPR compliant consent form, a GDPR </w:t>
            </w:r>
            <w:r w:rsidR="006102D4">
              <w:rPr>
                <w:i/>
                <w:iCs/>
              </w:rPr>
              <w:t xml:space="preserve">compliant </w:t>
            </w:r>
            <w:r>
              <w:rPr>
                <w:i/>
                <w:iCs/>
              </w:rPr>
              <w:t>patient information leaflet, the right to</w:t>
            </w:r>
            <w:r w:rsidRPr="006678AC">
              <w:rPr>
                <w:i/>
                <w:iCs/>
              </w:rPr>
              <w:t xml:space="preserve"> contact the DPO if the</w:t>
            </w:r>
            <w:r w:rsidR="00D377B1">
              <w:rPr>
                <w:i/>
                <w:iCs/>
              </w:rPr>
              <w:t xml:space="preserve"> patient</w:t>
            </w:r>
            <w:r w:rsidRPr="006678AC">
              <w:rPr>
                <w:i/>
                <w:iCs/>
              </w:rPr>
              <w:t xml:space="preserve"> feel</w:t>
            </w:r>
            <w:r w:rsidR="00D377B1">
              <w:rPr>
                <w:i/>
                <w:iCs/>
              </w:rPr>
              <w:t>s</w:t>
            </w:r>
            <w:r w:rsidRPr="006678AC">
              <w:rPr>
                <w:i/>
                <w:iCs/>
              </w:rPr>
              <w:t xml:space="preserve"> that </w:t>
            </w:r>
            <w:r w:rsidR="00D377B1">
              <w:rPr>
                <w:i/>
                <w:iCs/>
              </w:rPr>
              <w:t>she/he</w:t>
            </w:r>
            <w:r w:rsidRPr="006678AC">
              <w:rPr>
                <w:i/>
                <w:iCs/>
              </w:rPr>
              <w:t xml:space="preserve"> have been deceived, etc</w:t>
            </w:r>
            <w:r>
              <w:rPr>
                <w:i/>
                <w:iCs/>
              </w:rPr>
              <w:t>; and</w:t>
            </w:r>
            <w:r w:rsidRPr="006678AC">
              <w:rPr>
                <w:i/>
                <w:iCs/>
              </w:rPr>
              <w:t xml:space="preserve"> the PIL &amp; Consent form should clearly state that refusal to take part will not impact the</w:t>
            </w:r>
            <w:r w:rsidR="00D377B1">
              <w:rPr>
                <w:i/>
                <w:iCs/>
              </w:rPr>
              <w:t xml:space="preserve"> persons</w:t>
            </w:r>
            <w:r w:rsidRPr="006678AC">
              <w:rPr>
                <w:i/>
                <w:iCs/>
              </w:rPr>
              <w:t xml:space="preserve"> health care in any way.</w:t>
            </w:r>
          </w:p>
          <w:p w14:paraId="4DB30875" w14:textId="1F05FDDE" w:rsidR="006678AC" w:rsidRPr="006678AC" w:rsidRDefault="006678AC" w:rsidP="006678AC">
            <w:pPr>
              <w:rPr>
                <w:i/>
                <w:iCs/>
              </w:rPr>
            </w:pPr>
          </w:p>
        </w:tc>
        <w:tc>
          <w:tcPr>
            <w:tcW w:w="2217" w:type="dxa"/>
          </w:tcPr>
          <w:p w14:paraId="68584C10" w14:textId="77777777" w:rsidR="00815816" w:rsidRDefault="00815816"/>
        </w:tc>
      </w:tr>
      <w:tr w:rsidR="00815816" w14:paraId="676F0E64" w14:textId="77777777" w:rsidTr="00BC37EF">
        <w:tc>
          <w:tcPr>
            <w:tcW w:w="6799" w:type="dxa"/>
          </w:tcPr>
          <w:p w14:paraId="0A056775" w14:textId="2B11A919" w:rsidR="00C15BCA" w:rsidRDefault="00C15BCA" w:rsidP="003A58E4">
            <w:pPr>
              <w:pStyle w:val="ListParagraph"/>
              <w:numPr>
                <w:ilvl w:val="0"/>
                <w:numId w:val="1"/>
              </w:numPr>
              <w:rPr>
                <w:b/>
              </w:rPr>
            </w:pPr>
            <w:r w:rsidRPr="003A58E4">
              <w:rPr>
                <w:b/>
              </w:rPr>
              <w:t>Have you made the request for consent prominent and separate from your other terms and conditions?</w:t>
            </w:r>
          </w:p>
          <w:p w14:paraId="5F90EAE3" w14:textId="77777777" w:rsidR="00C0709E" w:rsidRPr="003A58E4" w:rsidRDefault="00C0709E" w:rsidP="00C0709E">
            <w:pPr>
              <w:pStyle w:val="ListParagraph"/>
              <w:ind w:left="360"/>
              <w:rPr>
                <w:b/>
              </w:rPr>
            </w:pPr>
          </w:p>
          <w:p w14:paraId="0C5EA3FC" w14:textId="77777777" w:rsidR="00C15BCA" w:rsidRPr="00C0709E" w:rsidRDefault="00815816" w:rsidP="00815816">
            <w:pPr>
              <w:jc w:val="both"/>
              <w:rPr>
                <w:i/>
              </w:rPr>
            </w:pPr>
            <w:r w:rsidRPr="00C0709E">
              <w:rPr>
                <w:i/>
              </w:rPr>
              <w:t>Article 7(4) GDPR indicates that, inter alia, the situation of “bundling” consent with acceptance of terms or conditions, or “tying” the provision of a contract or a service to a request for consent to process personal data that are not necessary for the performance of that contract or service, is considered highly undesirable. If consent is given in this situation, it is presumed to be not freely given (recital 43).</w:t>
            </w:r>
          </w:p>
          <w:p w14:paraId="25C5C208" w14:textId="77777777" w:rsidR="003A58E4" w:rsidRDefault="003A58E4" w:rsidP="00815816">
            <w:pPr>
              <w:jc w:val="both"/>
            </w:pPr>
          </w:p>
        </w:tc>
        <w:tc>
          <w:tcPr>
            <w:tcW w:w="2217" w:type="dxa"/>
          </w:tcPr>
          <w:p w14:paraId="2EB16B53" w14:textId="77777777" w:rsidR="00815816" w:rsidRDefault="00815816"/>
        </w:tc>
      </w:tr>
      <w:tr w:rsidR="00A164F9" w14:paraId="259FF26B" w14:textId="77777777" w:rsidTr="00BC37EF">
        <w:tc>
          <w:tcPr>
            <w:tcW w:w="6799" w:type="dxa"/>
          </w:tcPr>
          <w:p w14:paraId="4211CBDE" w14:textId="77777777" w:rsidR="00A164F9" w:rsidRPr="00A164F9" w:rsidRDefault="00A164F9" w:rsidP="00A164F9">
            <w:pPr>
              <w:pStyle w:val="ListParagraph"/>
              <w:numPr>
                <w:ilvl w:val="0"/>
                <w:numId w:val="1"/>
              </w:numPr>
              <w:rPr>
                <w:b/>
              </w:rPr>
            </w:pPr>
            <w:r w:rsidRPr="00A164F9">
              <w:rPr>
                <w:b/>
              </w:rPr>
              <w:t>Have you included the purpose of each of the processing operations for which consent is sought?</w:t>
            </w:r>
          </w:p>
          <w:p w14:paraId="3FC6D027" w14:textId="77777777" w:rsidR="00A164F9" w:rsidRPr="00A164F9" w:rsidRDefault="00A164F9" w:rsidP="00A164F9">
            <w:pPr>
              <w:pStyle w:val="ListParagraph"/>
              <w:ind w:left="360"/>
              <w:rPr>
                <w:b/>
              </w:rPr>
            </w:pPr>
          </w:p>
          <w:p w14:paraId="78990475" w14:textId="77777777" w:rsidR="00A164F9" w:rsidRDefault="00A164F9" w:rsidP="00A164F9">
            <w:pPr>
              <w:pStyle w:val="ListParagraph"/>
              <w:ind w:left="360"/>
              <w:rPr>
                <w:i/>
              </w:rPr>
            </w:pPr>
            <w:r w:rsidRPr="00A164F9">
              <w:rPr>
                <w:i/>
              </w:rPr>
              <w:t>i.e. Have you clearly explained why you are collecting the data and what it will be used for</w:t>
            </w:r>
            <w:r w:rsidR="00BE2B4D">
              <w:rPr>
                <w:i/>
              </w:rPr>
              <w:t>?</w:t>
            </w:r>
          </w:p>
          <w:p w14:paraId="7FA5F0F5" w14:textId="41A52C15" w:rsidR="00732406" w:rsidRPr="00A164F9" w:rsidRDefault="00732406" w:rsidP="00A164F9">
            <w:pPr>
              <w:pStyle w:val="ListParagraph"/>
              <w:ind w:left="360"/>
              <w:rPr>
                <w:i/>
              </w:rPr>
            </w:pPr>
          </w:p>
        </w:tc>
        <w:tc>
          <w:tcPr>
            <w:tcW w:w="2217" w:type="dxa"/>
          </w:tcPr>
          <w:p w14:paraId="1C19D227" w14:textId="77777777" w:rsidR="00A164F9" w:rsidRDefault="00A164F9"/>
        </w:tc>
      </w:tr>
      <w:tr w:rsidR="00815816" w14:paraId="3634A85E" w14:textId="77777777" w:rsidTr="00BC37EF">
        <w:tc>
          <w:tcPr>
            <w:tcW w:w="6799" w:type="dxa"/>
          </w:tcPr>
          <w:p w14:paraId="2A87F7DC" w14:textId="7FABB902" w:rsidR="00DF5D7D" w:rsidRDefault="00C0709E" w:rsidP="003A58E4">
            <w:pPr>
              <w:pStyle w:val="ListParagraph"/>
              <w:numPr>
                <w:ilvl w:val="0"/>
                <w:numId w:val="1"/>
              </w:numPr>
              <w:rPr>
                <w:b/>
              </w:rPr>
            </w:pPr>
            <w:r>
              <w:rPr>
                <w:b/>
              </w:rPr>
              <w:t>Where multiple purposes exist in the research project, h</w:t>
            </w:r>
            <w:r w:rsidR="00DF5D7D" w:rsidRPr="003A58E4">
              <w:rPr>
                <w:b/>
              </w:rPr>
              <w:t>ave you given separate distinct (‘granular’) options to consent separately to different purposes and types of processing?</w:t>
            </w:r>
          </w:p>
          <w:p w14:paraId="0F5A16F2" w14:textId="77777777" w:rsidR="00C0709E" w:rsidRPr="003A58E4" w:rsidRDefault="00C0709E" w:rsidP="00C0709E">
            <w:pPr>
              <w:pStyle w:val="ListParagraph"/>
              <w:ind w:left="360"/>
              <w:rPr>
                <w:b/>
              </w:rPr>
            </w:pPr>
          </w:p>
          <w:p w14:paraId="3D3C6B1E" w14:textId="2EA565E0" w:rsidR="00815816" w:rsidRPr="00C0709E" w:rsidRDefault="00815816" w:rsidP="00716D38">
            <w:pPr>
              <w:jc w:val="both"/>
              <w:rPr>
                <w:i/>
              </w:rPr>
            </w:pPr>
            <w:r w:rsidRPr="00C0709E">
              <w:rPr>
                <w:i/>
              </w:rPr>
              <w:t xml:space="preserve">A </w:t>
            </w:r>
            <w:r w:rsidR="003A1D2C" w:rsidRPr="00C0709E">
              <w:rPr>
                <w:i/>
              </w:rPr>
              <w:t xml:space="preserve">research project </w:t>
            </w:r>
            <w:r w:rsidRPr="00C0709E">
              <w:rPr>
                <w:i/>
              </w:rPr>
              <w:t xml:space="preserve">may involve multiple processing operations for more than one purpose. In such cases, the data subjects should be free to choose which purpose they accept, rather than having to consent to a bundle of processing purposes. </w:t>
            </w:r>
          </w:p>
          <w:p w14:paraId="0BF959B9" w14:textId="77777777" w:rsidR="003A58E4" w:rsidRDefault="003A58E4" w:rsidP="00716D38">
            <w:pPr>
              <w:jc w:val="both"/>
            </w:pPr>
          </w:p>
          <w:p w14:paraId="581CD93C" w14:textId="47EDBDBC" w:rsidR="001A7758" w:rsidRPr="00072294" w:rsidRDefault="00072294" w:rsidP="00716D38">
            <w:pPr>
              <w:jc w:val="both"/>
              <w:rPr>
                <w:i/>
                <w:iCs/>
              </w:rPr>
            </w:pPr>
            <w:r w:rsidRPr="00072294">
              <w:rPr>
                <w:i/>
                <w:iCs/>
              </w:rPr>
              <w:t xml:space="preserve">Please note the Health Research Regulations 2018 allow for the fact that it may be difficult to fully specify the purposes of the research at the outset. Regulation 3(1)(e) provides that explicit consent from the individual may be obtained "for the purpose of the specified health research, either in relation to a particular area or more generally in that area or a related area of health research, or part thereof". For further information see: </w:t>
            </w:r>
            <w:r w:rsidRPr="00072294">
              <w:rPr>
                <w:i/>
                <w:iCs/>
              </w:rPr>
              <w:lastRenderedPageBreak/>
              <w:t>https://www.hrb.ie/funding/gdpr-guidance-for-researchers/gdpr-and-health-research/consent/broad-consent/</w:t>
            </w:r>
          </w:p>
          <w:p w14:paraId="51E64094" w14:textId="70C53205" w:rsidR="001A7758" w:rsidRDefault="001A7758" w:rsidP="00716D38">
            <w:pPr>
              <w:jc w:val="both"/>
            </w:pPr>
          </w:p>
        </w:tc>
        <w:tc>
          <w:tcPr>
            <w:tcW w:w="2217" w:type="dxa"/>
          </w:tcPr>
          <w:p w14:paraId="09485013" w14:textId="77777777" w:rsidR="00815816" w:rsidRDefault="00815816"/>
        </w:tc>
      </w:tr>
      <w:tr w:rsidR="00716B84" w14:paraId="2A7A0292" w14:textId="77777777" w:rsidTr="00BC37EF">
        <w:tc>
          <w:tcPr>
            <w:tcW w:w="6799" w:type="dxa"/>
          </w:tcPr>
          <w:p w14:paraId="304619B0" w14:textId="6D823E6E" w:rsidR="00716B84" w:rsidRDefault="00716B84" w:rsidP="00716B84">
            <w:pPr>
              <w:pStyle w:val="ListParagraph"/>
              <w:numPr>
                <w:ilvl w:val="0"/>
                <w:numId w:val="1"/>
              </w:numPr>
              <w:jc w:val="both"/>
              <w:rPr>
                <w:b/>
              </w:rPr>
            </w:pPr>
            <w:r w:rsidRPr="00BC37EF">
              <w:rPr>
                <w:b/>
              </w:rPr>
              <w:t xml:space="preserve">Have you included what (type of) data will be collected and </w:t>
            </w:r>
            <w:proofErr w:type="gramStart"/>
            <w:r w:rsidRPr="00BC37EF">
              <w:rPr>
                <w:b/>
              </w:rPr>
              <w:t>used</w:t>
            </w:r>
            <w:proofErr w:type="gramEnd"/>
            <w:r>
              <w:rPr>
                <w:b/>
              </w:rPr>
              <w:t xml:space="preserve"> </w:t>
            </w:r>
          </w:p>
          <w:p w14:paraId="38A1FA26" w14:textId="4088FF8D" w:rsidR="00AA14F9" w:rsidRDefault="00AA14F9" w:rsidP="00AA14F9">
            <w:pPr>
              <w:pStyle w:val="ListParagraph"/>
              <w:ind w:left="360"/>
              <w:jc w:val="both"/>
              <w:rPr>
                <w:b/>
              </w:rPr>
            </w:pPr>
          </w:p>
          <w:p w14:paraId="693A67E9" w14:textId="32CEFD1A" w:rsidR="006B151A" w:rsidRPr="006B151A" w:rsidRDefault="00AA14F9" w:rsidP="006B151A">
            <w:pPr>
              <w:pStyle w:val="ListParagraph"/>
              <w:ind w:left="360"/>
              <w:jc w:val="both"/>
              <w:rPr>
                <w:b/>
              </w:rPr>
            </w:pPr>
            <w:r w:rsidRPr="00AA14F9">
              <w:rPr>
                <w:bCs/>
                <w:i/>
                <w:iCs/>
              </w:rPr>
              <w:t>Examples: name, addresses, blood type, medical condition</w:t>
            </w:r>
            <w:r>
              <w:rPr>
                <w:bCs/>
                <w:i/>
                <w:iCs/>
              </w:rPr>
              <w:t xml:space="preserve"> etc.</w:t>
            </w:r>
            <w:r>
              <w:rPr>
                <w:bCs/>
                <w:i/>
                <w:iCs/>
              </w:rPr>
              <w:br/>
            </w:r>
          </w:p>
        </w:tc>
        <w:tc>
          <w:tcPr>
            <w:tcW w:w="2217" w:type="dxa"/>
          </w:tcPr>
          <w:p w14:paraId="00B13CE6" w14:textId="77777777" w:rsidR="00716B84" w:rsidRDefault="00716B84" w:rsidP="00716B84"/>
        </w:tc>
      </w:tr>
      <w:tr w:rsidR="00716B84" w14:paraId="47D0DEA8" w14:textId="77777777" w:rsidTr="00BC37EF">
        <w:tc>
          <w:tcPr>
            <w:tcW w:w="6799" w:type="dxa"/>
          </w:tcPr>
          <w:p w14:paraId="1C952087" w14:textId="6FFFA4FA" w:rsidR="00716B84" w:rsidRDefault="00716B84" w:rsidP="00716B84">
            <w:pPr>
              <w:pStyle w:val="ListParagraph"/>
              <w:numPr>
                <w:ilvl w:val="0"/>
                <w:numId w:val="1"/>
              </w:numPr>
              <w:jc w:val="both"/>
              <w:rPr>
                <w:b/>
              </w:rPr>
            </w:pPr>
            <w:r w:rsidRPr="003A58E4">
              <w:rPr>
                <w:b/>
              </w:rPr>
              <w:t xml:space="preserve">Have you </w:t>
            </w:r>
            <w:r>
              <w:rPr>
                <w:b/>
              </w:rPr>
              <w:t xml:space="preserve">informed data subjects of </w:t>
            </w:r>
            <w:r w:rsidRPr="00BC37EF">
              <w:rPr>
                <w:b/>
              </w:rPr>
              <w:t>the data controller’s identity (or if there is more than one the name of each data controller)?</w:t>
            </w:r>
          </w:p>
          <w:p w14:paraId="1855935A" w14:textId="33477105" w:rsidR="0053261B" w:rsidRDefault="00716B84" w:rsidP="00716B84">
            <w:pPr>
              <w:pStyle w:val="ListParagraph"/>
              <w:ind w:left="360"/>
              <w:jc w:val="both"/>
              <w:rPr>
                <w:bCs/>
                <w:i/>
              </w:rPr>
            </w:pPr>
            <w:r w:rsidRPr="00BC37EF">
              <w:rPr>
                <w:b/>
              </w:rPr>
              <w:t xml:space="preserve"> </w:t>
            </w:r>
            <w:r>
              <w:rPr>
                <w:b/>
              </w:rPr>
              <w:br/>
            </w:r>
            <w:r w:rsidR="006B151A" w:rsidRPr="00410D3F">
              <w:rPr>
                <w:bCs/>
                <w:i/>
              </w:rPr>
              <w:t xml:space="preserve">The institution employing the Principal Investigator is a </w:t>
            </w:r>
            <w:bookmarkStart w:id="0" w:name="_GoBack"/>
            <w:bookmarkEnd w:id="0"/>
            <w:r w:rsidR="006B151A" w:rsidRPr="00410D3F">
              <w:rPr>
                <w:bCs/>
                <w:i/>
              </w:rPr>
              <w:t xml:space="preserve">Data Controller and should be readily identifiable on the </w:t>
            </w:r>
            <w:r w:rsidR="00C62F1A">
              <w:rPr>
                <w:bCs/>
                <w:i/>
              </w:rPr>
              <w:t xml:space="preserve">PIL/IC </w:t>
            </w:r>
            <w:r w:rsidR="006B151A" w:rsidRPr="00410D3F">
              <w:rPr>
                <w:bCs/>
                <w:i/>
              </w:rPr>
              <w:t xml:space="preserve">Form as the organisation managing the research participant’s personal data. </w:t>
            </w:r>
            <w:r w:rsidR="0053261B">
              <w:rPr>
                <w:bCs/>
                <w:i/>
              </w:rPr>
              <w:t>T</w:t>
            </w:r>
            <w:r w:rsidR="0053261B" w:rsidRPr="0053261B">
              <w:rPr>
                <w:bCs/>
                <w:i/>
              </w:rPr>
              <w:t xml:space="preserve">he words ‘Data Controller’ </w:t>
            </w:r>
            <w:r w:rsidR="0053261B">
              <w:rPr>
                <w:bCs/>
                <w:i/>
              </w:rPr>
              <w:t>do not need to be on the document if the institution can be identified and a contact point was given.</w:t>
            </w:r>
          </w:p>
          <w:p w14:paraId="4B29DAD0" w14:textId="4C05DF55" w:rsidR="006B151A" w:rsidRDefault="006B151A" w:rsidP="00716B84">
            <w:pPr>
              <w:pStyle w:val="ListParagraph"/>
              <w:ind w:left="360"/>
              <w:jc w:val="both"/>
              <w:rPr>
                <w:bCs/>
                <w:i/>
              </w:rPr>
            </w:pPr>
            <w:r w:rsidRPr="00410D3F">
              <w:rPr>
                <w:bCs/>
                <w:i/>
              </w:rPr>
              <w:t>In a case where the consent sought is to be relied upon by multiple (joint) data controllers or if the data is to be transferred to other data controllers who wish to rely on the original consent, these organisations should all be named.</w:t>
            </w:r>
          </w:p>
          <w:p w14:paraId="1A156DF4" w14:textId="54FC768F" w:rsidR="00716B84" w:rsidRPr="00BC37EF" w:rsidRDefault="00716B84" w:rsidP="00716B84">
            <w:pPr>
              <w:jc w:val="both"/>
              <w:rPr>
                <w:b/>
              </w:rPr>
            </w:pPr>
          </w:p>
          <w:p w14:paraId="4327E549" w14:textId="77777777" w:rsidR="00716B84" w:rsidRDefault="00716B84" w:rsidP="00716B84"/>
        </w:tc>
        <w:tc>
          <w:tcPr>
            <w:tcW w:w="2217" w:type="dxa"/>
          </w:tcPr>
          <w:p w14:paraId="6C93EB79" w14:textId="77777777" w:rsidR="00716B84" w:rsidRDefault="00716B84" w:rsidP="00716B84"/>
          <w:p w14:paraId="01BD6584" w14:textId="77777777" w:rsidR="00716B84" w:rsidRDefault="00716B84" w:rsidP="00716B84"/>
          <w:p w14:paraId="59EC2370" w14:textId="77777777" w:rsidR="00716B84" w:rsidRDefault="00716B84" w:rsidP="00716B84"/>
          <w:p w14:paraId="53185927" w14:textId="77777777" w:rsidR="00716B84" w:rsidRDefault="00716B84" w:rsidP="00716B84"/>
          <w:p w14:paraId="6821195D" w14:textId="77777777" w:rsidR="00716B84" w:rsidRDefault="00716B84" w:rsidP="00716B84"/>
          <w:p w14:paraId="58D6E9B6" w14:textId="77777777" w:rsidR="00716B84" w:rsidRDefault="00716B84" w:rsidP="00716B84"/>
        </w:tc>
      </w:tr>
      <w:tr w:rsidR="00716B84" w14:paraId="2E194014" w14:textId="77777777" w:rsidTr="00BC37EF">
        <w:tc>
          <w:tcPr>
            <w:tcW w:w="6799" w:type="dxa"/>
          </w:tcPr>
          <w:p w14:paraId="062232BF" w14:textId="1482DF87" w:rsidR="00716B84" w:rsidRDefault="00716B84" w:rsidP="00716B84">
            <w:pPr>
              <w:pStyle w:val="ListParagraph"/>
              <w:numPr>
                <w:ilvl w:val="0"/>
                <w:numId w:val="1"/>
              </w:numPr>
              <w:jc w:val="both"/>
              <w:rPr>
                <w:b/>
              </w:rPr>
            </w:pPr>
            <w:r w:rsidRPr="004A36EE">
              <w:rPr>
                <w:b/>
              </w:rPr>
              <w:t>Have you provided a full list of the categories of recipients i.e. more information may be needed to allow the data subject to genuinely understand the processing operations at hand*</w:t>
            </w:r>
            <w:r w:rsidRPr="004A36EE">
              <w:rPr>
                <w:rStyle w:val="FootnoteReference"/>
                <w:b/>
              </w:rPr>
              <w:footnoteReference w:id="1"/>
            </w:r>
          </w:p>
          <w:p w14:paraId="500B8984" w14:textId="1EF4D9E0" w:rsidR="00C479BC" w:rsidRDefault="00C479BC" w:rsidP="00C479BC">
            <w:pPr>
              <w:pStyle w:val="ListParagraph"/>
              <w:ind w:left="360"/>
              <w:jc w:val="both"/>
              <w:rPr>
                <w:b/>
              </w:rPr>
            </w:pPr>
          </w:p>
          <w:p w14:paraId="5DDC5C00" w14:textId="45C8C11C" w:rsidR="00410D3F" w:rsidRDefault="00410D3F" w:rsidP="00C479BC">
            <w:pPr>
              <w:pStyle w:val="ListParagraph"/>
              <w:ind w:left="360"/>
              <w:jc w:val="both"/>
              <w:rPr>
                <w:b/>
              </w:rPr>
            </w:pPr>
            <w:r w:rsidRPr="00410D3F">
              <w:rPr>
                <w:bCs/>
                <w:i/>
                <w:iCs/>
              </w:rPr>
              <w:t xml:space="preserve">The </w:t>
            </w:r>
            <w:r w:rsidR="00B93E50">
              <w:rPr>
                <w:bCs/>
                <w:i/>
                <w:iCs/>
              </w:rPr>
              <w:t xml:space="preserve">PIL/IC </w:t>
            </w:r>
            <w:r w:rsidRPr="00410D3F">
              <w:rPr>
                <w:bCs/>
                <w:i/>
                <w:iCs/>
              </w:rPr>
              <w:t>Form needs to acknowledge that data may be shared with others if applicable (e.g. with other academic collaborators</w:t>
            </w:r>
            <w:r>
              <w:rPr>
                <w:bCs/>
                <w:i/>
                <w:iCs/>
              </w:rPr>
              <w:t>/ with commercial companies</w:t>
            </w:r>
            <w:r w:rsidRPr="00410D3F">
              <w:rPr>
                <w:bCs/>
                <w:i/>
                <w:iCs/>
              </w:rPr>
              <w:t xml:space="preserve">) and for what purpose but specific named individuals do not need to be identified. The </w:t>
            </w:r>
            <w:r w:rsidR="00B93E50">
              <w:rPr>
                <w:bCs/>
                <w:i/>
                <w:iCs/>
              </w:rPr>
              <w:t xml:space="preserve">PIL/IC </w:t>
            </w:r>
            <w:r w:rsidRPr="00410D3F">
              <w:rPr>
                <w:bCs/>
                <w:i/>
                <w:iCs/>
              </w:rPr>
              <w:t>also needs to indicate if any data will be sent to a country outside of the European</w:t>
            </w:r>
            <w:r w:rsidR="00732406">
              <w:rPr>
                <w:bCs/>
                <w:i/>
                <w:iCs/>
              </w:rPr>
              <w:t xml:space="preserve"> Economic Area.</w:t>
            </w:r>
          </w:p>
          <w:p w14:paraId="21AD2FB2" w14:textId="300D9D55" w:rsidR="009D45F8" w:rsidRPr="004A36EE" w:rsidRDefault="009D45F8" w:rsidP="00C62F1A">
            <w:pPr>
              <w:pStyle w:val="ListParagraph"/>
              <w:ind w:left="360"/>
              <w:jc w:val="both"/>
              <w:rPr>
                <w:b/>
              </w:rPr>
            </w:pPr>
          </w:p>
        </w:tc>
        <w:tc>
          <w:tcPr>
            <w:tcW w:w="2217" w:type="dxa"/>
          </w:tcPr>
          <w:p w14:paraId="0C0B71CB" w14:textId="77777777" w:rsidR="00716B84" w:rsidRPr="004A36EE" w:rsidRDefault="00716B84" w:rsidP="00716B84"/>
        </w:tc>
      </w:tr>
      <w:tr w:rsidR="00716B84" w14:paraId="1138E953" w14:textId="77777777" w:rsidTr="00BC37EF">
        <w:tc>
          <w:tcPr>
            <w:tcW w:w="6799" w:type="dxa"/>
          </w:tcPr>
          <w:p w14:paraId="7AC5EF84" w14:textId="4D13B972" w:rsidR="00716B84" w:rsidRPr="000C25DA" w:rsidRDefault="00716B84" w:rsidP="00716B84">
            <w:pPr>
              <w:pStyle w:val="ListParagraph"/>
              <w:numPr>
                <w:ilvl w:val="0"/>
                <w:numId w:val="1"/>
              </w:numPr>
              <w:jc w:val="both"/>
              <w:rPr>
                <w:b/>
              </w:rPr>
            </w:pPr>
            <w:r>
              <w:rPr>
                <w:b/>
              </w:rPr>
              <w:t xml:space="preserve">If applicable: </w:t>
            </w:r>
            <w:r w:rsidRPr="00BC37EF">
              <w:rPr>
                <w:b/>
              </w:rPr>
              <w:t>Have you included information about the use of the data for automated decision-making in accordance with Article 22 (2)(c)?</w:t>
            </w:r>
            <w:r>
              <w:rPr>
                <w:b/>
              </w:rPr>
              <w:t xml:space="preserve">See: </w:t>
            </w:r>
            <w:hyperlink r:id="rId10" w:history="1">
              <w:r w:rsidRPr="000B0680">
                <w:rPr>
                  <w:color w:val="0000FF"/>
                  <w:u w:val="single"/>
                </w:rPr>
                <w:t>https://gdpr-info.eu/art-22-gdpr/</w:t>
              </w:r>
            </w:hyperlink>
          </w:p>
          <w:p w14:paraId="08BE2036" w14:textId="00E66A46" w:rsidR="000C25DA" w:rsidRDefault="000C25DA" w:rsidP="000C25DA">
            <w:pPr>
              <w:pStyle w:val="ListParagraph"/>
              <w:ind w:left="360"/>
              <w:jc w:val="both"/>
              <w:rPr>
                <w:b/>
              </w:rPr>
            </w:pPr>
          </w:p>
          <w:p w14:paraId="2287AAD1" w14:textId="09DF265D" w:rsidR="000C25DA" w:rsidRPr="000C25DA" w:rsidRDefault="000C25DA" w:rsidP="000C25DA">
            <w:pPr>
              <w:jc w:val="both"/>
              <w:rPr>
                <w:bCs/>
                <w:i/>
                <w:iCs/>
              </w:rPr>
            </w:pPr>
            <w:r w:rsidRPr="000C25DA">
              <w:rPr>
                <w:bCs/>
                <w:i/>
                <w:iCs/>
              </w:rPr>
              <w:t>Note: automated decision</w:t>
            </w:r>
            <w:r>
              <w:rPr>
                <w:bCs/>
                <w:i/>
                <w:iCs/>
              </w:rPr>
              <w:t>-</w:t>
            </w:r>
            <w:r w:rsidRPr="000C25DA">
              <w:rPr>
                <w:bCs/>
                <w:i/>
                <w:iCs/>
              </w:rPr>
              <w:t>making is not equal to automated processing. Automated decision</w:t>
            </w:r>
            <w:r>
              <w:rPr>
                <w:bCs/>
                <w:i/>
                <w:iCs/>
              </w:rPr>
              <w:t>-</w:t>
            </w:r>
            <w:r w:rsidRPr="000C25DA">
              <w:rPr>
                <w:bCs/>
                <w:i/>
                <w:iCs/>
              </w:rPr>
              <w:t>making means making decisions that are made without human intervention. Automated processing is processing of personal data using e.g. a computer to enter or store the data, but not to make any decision regarding the data.</w:t>
            </w:r>
          </w:p>
          <w:p w14:paraId="1682A32D" w14:textId="77777777" w:rsidR="00716B84" w:rsidRPr="00BC37EF" w:rsidRDefault="00716B84" w:rsidP="00716B84">
            <w:pPr>
              <w:pStyle w:val="ListParagraph"/>
              <w:jc w:val="both"/>
              <w:rPr>
                <w:b/>
              </w:rPr>
            </w:pPr>
          </w:p>
        </w:tc>
        <w:tc>
          <w:tcPr>
            <w:tcW w:w="2217" w:type="dxa"/>
          </w:tcPr>
          <w:p w14:paraId="2CBAB184" w14:textId="77777777" w:rsidR="00716B84" w:rsidRDefault="00716B84" w:rsidP="00716B84"/>
        </w:tc>
      </w:tr>
      <w:tr w:rsidR="00716B84" w14:paraId="32923C48" w14:textId="77777777" w:rsidTr="00BC37EF">
        <w:tc>
          <w:tcPr>
            <w:tcW w:w="6799" w:type="dxa"/>
          </w:tcPr>
          <w:p w14:paraId="60D4E375" w14:textId="77777777" w:rsidR="00716B84" w:rsidRPr="009D45F8" w:rsidRDefault="00716B84" w:rsidP="00716B84">
            <w:pPr>
              <w:pStyle w:val="ListParagraph"/>
              <w:numPr>
                <w:ilvl w:val="0"/>
                <w:numId w:val="1"/>
              </w:numPr>
              <w:jc w:val="both"/>
              <w:rPr>
                <w:b/>
                <w:bCs/>
              </w:rPr>
            </w:pPr>
            <w:r w:rsidRPr="009D45F8">
              <w:rPr>
                <w:b/>
                <w:bCs/>
              </w:rPr>
              <w:t>Can individuals refuse to consent without detriment?</w:t>
            </w:r>
          </w:p>
          <w:p w14:paraId="0A21977A" w14:textId="77777777" w:rsidR="00716B84" w:rsidRPr="009D45F8" w:rsidRDefault="00716B84" w:rsidP="00716B84">
            <w:pPr>
              <w:pStyle w:val="ListParagraph"/>
              <w:ind w:left="360"/>
              <w:jc w:val="both"/>
              <w:rPr>
                <w:b/>
                <w:bCs/>
              </w:rPr>
            </w:pPr>
          </w:p>
          <w:p w14:paraId="791BBB2F" w14:textId="528BDF52" w:rsidR="00716B84" w:rsidRPr="009D45F8" w:rsidRDefault="00716B84" w:rsidP="00716B84">
            <w:pPr>
              <w:pStyle w:val="ListParagraph"/>
              <w:ind w:left="360"/>
              <w:jc w:val="both"/>
              <w:rPr>
                <w:i/>
                <w:iCs/>
              </w:rPr>
            </w:pPr>
            <w:r w:rsidRPr="009D45F8">
              <w:rPr>
                <w:i/>
                <w:iCs/>
              </w:rPr>
              <w:t xml:space="preserve">The controller should be able to prove that the data subject had a free or genuine choice about whether to consent and that it was possible to withdraw consent without detriment.  </w:t>
            </w:r>
          </w:p>
          <w:p w14:paraId="7D04C7EC" w14:textId="77777777" w:rsidR="00716B84" w:rsidRPr="009D45F8" w:rsidRDefault="00716B84" w:rsidP="00716B84">
            <w:pPr>
              <w:pStyle w:val="ListParagraph"/>
              <w:ind w:left="360"/>
              <w:jc w:val="both"/>
              <w:rPr>
                <w:i/>
                <w:iCs/>
              </w:rPr>
            </w:pPr>
          </w:p>
          <w:p w14:paraId="56B290F6" w14:textId="37E8E778" w:rsidR="00716B84" w:rsidRPr="009D45F8" w:rsidRDefault="00716B84" w:rsidP="00716B84">
            <w:pPr>
              <w:pStyle w:val="ListParagraph"/>
              <w:ind w:left="360"/>
              <w:jc w:val="both"/>
              <w:rPr>
                <w:b/>
                <w:bCs/>
              </w:rPr>
            </w:pPr>
          </w:p>
        </w:tc>
        <w:tc>
          <w:tcPr>
            <w:tcW w:w="2217" w:type="dxa"/>
          </w:tcPr>
          <w:p w14:paraId="1B6FFEE4" w14:textId="77777777" w:rsidR="00716B84" w:rsidRDefault="00716B84" w:rsidP="00716B84"/>
        </w:tc>
      </w:tr>
      <w:tr w:rsidR="00716B84" w14:paraId="3C4B774C" w14:textId="77777777" w:rsidTr="00BC37EF">
        <w:tc>
          <w:tcPr>
            <w:tcW w:w="6799" w:type="dxa"/>
          </w:tcPr>
          <w:p w14:paraId="523F06C4" w14:textId="35BA2A2C" w:rsidR="00716B84" w:rsidRDefault="00716B84" w:rsidP="00716B84">
            <w:pPr>
              <w:pStyle w:val="ListParagraph"/>
              <w:numPr>
                <w:ilvl w:val="0"/>
                <w:numId w:val="1"/>
              </w:numPr>
              <w:jc w:val="both"/>
              <w:rPr>
                <w:b/>
              </w:rPr>
            </w:pPr>
            <w:r w:rsidRPr="003A58E4">
              <w:rPr>
                <w:b/>
              </w:rPr>
              <w:lastRenderedPageBreak/>
              <w:t xml:space="preserve">Has the option to withdraw consent been communicated to the data subject? </w:t>
            </w:r>
          </w:p>
          <w:p w14:paraId="41F09E2B" w14:textId="77777777" w:rsidR="00716B84" w:rsidRPr="003A58E4" w:rsidRDefault="00716B84" w:rsidP="00716B84">
            <w:pPr>
              <w:pStyle w:val="ListParagraph"/>
              <w:ind w:left="360"/>
              <w:jc w:val="both"/>
              <w:rPr>
                <w:b/>
              </w:rPr>
            </w:pPr>
          </w:p>
          <w:p w14:paraId="2810E6FC" w14:textId="77777777" w:rsidR="00716B84" w:rsidRDefault="00716B84" w:rsidP="009D45F8">
            <w:pPr>
              <w:jc w:val="both"/>
              <w:rPr>
                <w:i/>
              </w:rPr>
            </w:pPr>
            <w:r w:rsidRPr="0024166E">
              <w:rPr>
                <w:i/>
              </w:rPr>
              <w:t>Article 7(3) of the GDPR prescribes that the controller must ensure that consent can be withdrawn by the data subject as eas</w:t>
            </w:r>
            <w:r>
              <w:rPr>
                <w:i/>
              </w:rPr>
              <w:t>il</w:t>
            </w:r>
            <w:r w:rsidRPr="0024166E">
              <w:rPr>
                <w:i/>
              </w:rPr>
              <w:t xml:space="preserve">y as giving consent and at any given time. </w:t>
            </w:r>
          </w:p>
          <w:p w14:paraId="5656F98B" w14:textId="64D059C6" w:rsidR="00060BF4" w:rsidRDefault="00060BF4" w:rsidP="009D45F8">
            <w:pPr>
              <w:jc w:val="both"/>
            </w:pPr>
          </w:p>
        </w:tc>
        <w:tc>
          <w:tcPr>
            <w:tcW w:w="2217" w:type="dxa"/>
          </w:tcPr>
          <w:p w14:paraId="61B01CBD" w14:textId="77777777" w:rsidR="00716B84" w:rsidRDefault="00716B84" w:rsidP="00716B84"/>
        </w:tc>
      </w:tr>
      <w:tr w:rsidR="00716B84" w14:paraId="1EACD3DB" w14:textId="77777777" w:rsidTr="00BC37EF">
        <w:tc>
          <w:tcPr>
            <w:tcW w:w="6799" w:type="dxa"/>
          </w:tcPr>
          <w:p w14:paraId="362C6305" w14:textId="32400E86" w:rsidR="00716B84" w:rsidRDefault="00716B84" w:rsidP="00716B84">
            <w:pPr>
              <w:pStyle w:val="ListParagraph"/>
              <w:numPr>
                <w:ilvl w:val="0"/>
                <w:numId w:val="1"/>
              </w:numPr>
              <w:rPr>
                <w:b/>
              </w:rPr>
            </w:pPr>
            <w:r w:rsidRPr="003A58E4">
              <w:rPr>
                <w:b/>
              </w:rPr>
              <w:t>Have you used clear, plain language that is easy to understand?</w:t>
            </w:r>
          </w:p>
          <w:p w14:paraId="5E7A0172" w14:textId="0996594B" w:rsidR="009D45F8" w:rsidRDefault="009D45F8" w:rsidP="009D45F8">
            <w:pPr>
              <w:pStyle w:val="ListParagraph"/>
              <w:ind w:left="360"/>
              <w:rPr>
                <w:b/>
              </w:rPr>
            </w:pPr>
          </w:p>
          <w:p w14:paraId="67EC54C8" w14:textId="6709765D" w:rsidR="009D45F8" w:rsidRPr="009D45F8" w:rsidRDefault="009D45F8" w:rsidP="009D45F8">
            <w:pPr>
              <w:pStyle w:val="ListParagraph"/>
              <w:ind w:left="360"/>
              <w:rPr>
                <w:bCs/>
                <w:i/>
                <w:iCs/>
              </w:rPr>
            </w:pPr>
            <w:r w:rsidRPr="009D45F8">
              <w:rPr>
                <w:bCs/>
                <w:i/>
                <w:iCs/>
              </w:rPr>
              <w:t xml:space="preserve">If you have </w:t>
            </w:r>
            <w:r>
              <w:rPr>
                <w:bCs/>
                <w:i/>
                <w:iCs/>
              </w:rPr>
              <w:t>sought a language review from NALA or consulted with a patient association regarding the content of your PIL/IC, this would help.</w:t>
            </w:r>
          </w:p>
          <w:p w14:paraId="5FDF8A6F" w14:textId="77777777" w:rsidR="00716B84" w:rsidRDefault="00716B84" w:rsidP="00716B84"/>
        </w:tc>
        <w:tc>
          <w:tcPr>
            <w:tcW w:w="2217" w:type="dxa"/>
          </w:tcPr>
          <w:p w14:paraId="1DCEB971" w14:textId="77777777" w:rsidR="00716B84" w:rsidRDefault="00716B84" w:rsidP="00716B84"/>
        </w:tc>
      </w:tr>
      <w:tr w:rsidR="00716B84" w14:paraId="1AD5D292" w14:textId="77777777" w:rsidTr="007D32FB">
        <w:tc>
          <w:tcPr>
            <w:tcW w:w="6799" w:type="dxa"/>
          </w:tcPr>
          <w:p w14:paraId="67484E0D" w14:textId="35213343" w:rsidR="00716B84" w:rsidRDefault="00716B84" w:rsidP="00716B84">
            <w:pPr>
              <w:pStyle w:val="ListParagraph"/>
              <w:numPr>
                <w:ilvl w:val="0"/>
                <w:numId w:val="1"/>
              </w:numPr>
              <w:jc w:val="both"/>
              <w:rPr>
                <w:b/>
              </w:rPr>
            </w:pPr>
            <w:r w:rsidRPr="003A58E4">
              <w:rPr>
                <w:b/>
              </w:rPr>
              <w:t xml:space="preserve">Can you </w:t>
            </w:r>
            <w:r w:rsidRPr="00080CCF">
              <w:rPr>
                <w:b/>
                <w:u w:val="single"/>
              </w:rPr>
              <w:t>demonstrate</w:t>
            </w:r>
            <w:r w:rsidRPr="003A58E4">
              <w:rPr>
                <w:b/>
              </w:rPr>
              <w:t xml:space="preserve"> that consent has been </w:t>
            </w:r>
            <w:r>
              <w:rPr>
                <w:b/>
              </w:rPr>
              <w:t xml:space="preserve">actively </w:t>
            </w:r>
            <w:r w:rsidRPr="003A58E4">
              <w:rPr>
                <w:b/>
              </w:rPr>
              <w:t xml:space="preserve">given? </w:t>
            </w:r>
          </w:p>
          <w:p w14:paraId="55B86389" w14:textId="77777777" w:rsidR="00716B84" w:rsidRPr="003A58E4" w:rsidRDefault="00716B84" w:rsidP="00716B84">
            <w:pPr>
              <w:pStyle w:val="ListParagraph"/>
              <w:ind w:left="360"/>
              <w:jc w:val="both"/>
              <w:rPr>
                <w:b/>
              </w:rPr>
            </w:pPr>
          </w:p>
          <w:p w14:paraId="5BE72C3A" w14:textId="5EAA4F37" w:rsidR="00716B84" w:rsidRPr="0024166E" w:rsidRDefault="00716B84" w:rsidP="00716B84">
            <w:pPr>
              <w:jc w:val="both"/>
              <w:rPr>
                <w:i/>
              </w:rPr>
            </w:pPr>
            <w:r w:rsidRPr="0024166E">
              <w:rPr>
                <w:i/>
              </w:rPr>
              <w:t xml:space="preserve">In Article 7(1), the GDPR clearly outlines the explicit obligation of the controller to demonstrate a data subject's consent. The burden of proof will be on the controller, according to Article 7(1). </w:t>
            </w:r>
            <w:r>
              <w:rPr>
                <w:i/>
              </w:rPr>
              <w:t xml:space="preserve">Paper and electronic consent forms must be stored </w:t>
            </w:r>
            <w:proofErr w:type="gramStart"/>
            <w:r>
              <w:rPr>
                <w:i/>
              </w:rPr>
              <w:t>as long as</w:t>
            </w:r>
            <w:proofErr w:type="gramEnd"/>
            <w:r>
              <w:rPr>
                <w:i/>
              </w:rPr>
              <w:t xml:space="preserve"> the data is stored.</w:t>
            </w:r>
          </w:p>
          <w:p w14:paraId="4E988F4D" w14:textId="77777777" w:rsidR="00716B84" w:rsidRDefault="00716B84" w:rsidP="00716B84"/>
        </w:tc>
        <w:tc>
          <w:tcPr>
            <w:tcW w:w="2217" w:type="dxa"/>
          </w:tcPr>
          <w:p w14:paraId="4DBE5BD5" w14:textId="77777777" w:rsidR="00716B84" w:rsidRDefault="00716B84" w:rsidP="00716B84"/>
        </w:tc>
      </w:tr>
    </w:tbl>
    <w:p w14:paraId="17FBFCDD" w14:textId="42DA817B" w:rsidR="003875B4" w:rsidRDefault="003875B4"/>
    <w:p w14:paraId="69F62A20" w14:textId="77777777" w:rsidR="00EB106D" w:rsidRPr="00A83A3F" w:rsidRDefault="00EB106D" w:rsidP="00EB106D">
      <w:pPr>
        <w:spacing w:after="161"/>
        <w:outlineLvl w:val="1"/>
        <w:rPr>
          <w:rFonts w:ascii="Calibri" w:hAnsi="Calibri" w:cs="Calibri"/>
          <w:b/>
          <w:kern w:val="36"/>
          <w:sz w:val="24"/>
          <w:szCs w:val="24"/>
          <w:lang w:val="en"/>
        </w:rPr>
      </w:pPr>
      <w:r w:rsidRPr="00A83A3F">
        <w:rPr>
          <w:rFonts w:ascii="Calibri" w:hAnsi="Calibri" w:cs="Calibri"/>
          <w:b/>
          <w:kern w:val="36"/>
          <w:sz w:val="24"/>
          <w:szCs w:val="24"/>
          <w:lang w:val="en"/>
        </w:rPr>
        <w:t>Definition of Key Terms</w:t>
      </w:r>
    </w:p>
    <w:p w14:paraId="27601B53" w14:textId="1DCF6294" w:rsidR="008D01FA" w:rsidRDefault="00EB106D" w:rsidP="00EB106D">
      <w:pPr>
        <w:pStyle w:val="NormalWeb"/>
        <w:rPr>
          <w:rFonts w:ascii="Calibri" w:hAnsi="Calibri" w:cs="Calibri"/>
          <w:sz w:val="22"/>
          <w:szCs w:val="22"/>
          <w:lang w:val="en"/>
        </w:rPr>
      </w:pPr>
      <w:r w:rsidRPr="00A83A3F">
        <w:rPr>
          <w:rFonts w:ascii="Calibri" w:hAnsi="Calibri" w:cs="Calibri"/>
          <w:sz w:val="22"/>
          <w:szCs w:val="22"/>
          <w:lang w:val="en"/>
        </w:rPr>
        <w:t>The following terms used throughout this guide have specific legal meanings under the GDPR. In order to understand your rights fully, please read the following glossary of key terms</w:t>
      </w:r>
      <w:r w:rsidR="003A1D2C">
        <w:rPr>
          <w:rFonts w:ascii="Calibri" w:hAnsi="Calibri" w:cs="Calibri"/>
          <w:sz w:val="22"/>
          <w:szCs w:val="22"/>
          <w:lang w:val="en"/>
        </w:rPr>
        <w:t>:</w:t>
      </w:r>
    </w:p>
    <w:p w14:paraId="5B3DE9C5" w14:textId="2E2A4160" w:rsidR="004F4267" w:rsidRDefault="004F4267" w:rsidP="00EB106D">
      <w:pPr>
        <w:pStyle w:val="Heading2"/>
        <w:rPr>
          <w:rFonts w:ascii="Calibri" w:hAnsi="Calibri" w:cs="Calibri"/>
          <w:b/>
          <w:color w:val="auto"/>
          <w:sz w:val="22"/>
          <w:szCs w:val="22"/>
          <w:lang w:val="en"/>
        </w:rPr>
      </w:pPr>
      <w:r>
        <w:rPr>
          <w:rFonts w:ascii="Calibri" w:hAnsi="Calibri" w:cs="Calibri"/>
          <w:b/>
          <w:color w:val="auto"/>
          <w:sz w:val="22"/>
          <w:szCs w:val="22"/>
          <w:lang w:val="en"/>
        </w:rPr>
        <w:t>Adequacy Decision</w:t>
      </w:r>
    </w:p>
    <w:p w14:paraId="64E522CB" w14:textId="0F0F7CBC" w:rsidR="004F4267" w:rsidRPr="004F4267" w:rsidRDefault="004F4267" w:rsidP="00EB106D">
      <w:pPr>
        <w:pStyle w:val="Heading2"/>
        <w:rPr>
          <w:rFonts w:ascii="Calibri" w:hAnsi="Calibri" w:cs="Calibri"/>
          <w:bCs/>
          <w:color w:val="auto"/>
          <w:sz w:val="22"/>
          <w:szCs w:val="22"/>
          <w:lang w:val="en"/>
        </w:rPr>
      </w:pPr>
      <w:r w:rsidRPr="004F4267">
        <w:rPr>
          <w:rFonts w:ascii="Calibri" w:hAnsi="Calibri" w:cs="Calibri"/>
          <w:bCs/>
          <w:color w:val="auto"/>
          <w:sz w:val="22"/>
          <w:szCs w:val="22"/>
          <w:lang w:val="en"/>
        </w:rPr>
        <w:t xml:space="preserve">The first thing to consider when transferring personal data to a third country is if there is an “adequacy decision”. An adequacy decision means that the European Commission has decided that a third country or an international </w:t>
      </w:r>
      <w:r w:rsidRPr="000C25DA">
        <w:rPr>
          <w:rFonts w:ascii="Calibri" w:hAnsi="Calibri" w:cs="Calibri"/>
          <w:bCs/>
          <w:color w:val="auto"/>
          <w:sz w:val="22"/>
          <w:szCs w:val="22"/>
        </w:rPr>
        <w:t>organisation</w:t>
      </w:r>
      <w:r w:rsidRPr="004F4267">
        <w:rPr>
          <w:rFonts w:ascii="Calibri" w:hAnsi="Calibri" w:cs="Calibri"/>
          <w:bCs/>
          <w:color w:val="auto"/>
          <w:sz w:val="22"/>
          <w:szCs w:val="22"/>
          <w:lang w:val="en"/>
        </w:rPr>
        <w:t xml:space="preserve"> ensures an adequate level of data protection.</w:t>
      </w:r>
    </w:p>
    <w:p w14:paraId="03A73CA5" w14:textId="1FADAD7C" w:rsidR="00EB106D" w:rsidRPr="000B0680" w:rsidRDefault="00EB106D" w:rsidP="00EB106D">
      <w:pPr>
        <w:pStyle w:val="Heading2"/>
        <w:rPr>
          <w:rFonts w:ascii="Calibri" w:hAnsi="Calibri" w:cs="Calibri"/>
          <w:b/>
          <w:color w:val="auto"/>
          <w:sz w:val="22"/>
          <w:szCs w:val="22"/>
          <w:lang w:val="en"/>
        </w:rPr>
      </w:pPr>
      <w:r w:rsidRPr="000B0680">
        <w:rPr>
          <w:rFonts w:ascii="Calibri" w:hAnsi="Calibri" w:cs="Calibri"/>
          <w:b/>
          <w:color w:val="auto"/>
          <w:sz w:val="22"/>
          <w:szCs w:val="22"/>
          <w:lang w:val="en"/>
        </w:rPr>
        <w:t>Consent</w:t>
      </w:r>
    </w:p>
    <w:p w14:paraId="41CE2F74" w14:textId="77777777" w:rsidR="00EB106D" w:rsidRPr="00A83A3F" w:rsidRDefault="00EB106D" w:rsidP="00EB106D">
      <w:pPr>
        <w:pStyle w:val="NormalWeb"/>
        <w:rPr>
          <w:rFonts w:ascii="Calibri" w:hAnsi="Calibri" w:cs="Calibri"/>
          <w:sz w:val="22"/>
          <w:szCs w:val="22"/>
          <w:lang w:val="en"/>
        </w:rPr>
      </w:pPr>
      <w:r w:rsidRPr="00A83A3F">
        <w:rPr>
          <w:rFonts w:ascii="Calibri" w:hAnsi="Calibri" w:cs="Calibri"/>
          <w:sz w:val="22"/>
          <w:szCs w:val="22"/>
          <w:lang w:val="en"/>
        </w:rPr>
        <w:t>Some types of processing are carried out on the basis that you have given your consent. Under the GDPR, consent to processing must be freely given, specific, and informed. You cannot be forced to give your consent, you must be told what purpose(s) your data will be used for and you should show your consent through a ‘statement or as a clear affirmative action’ (e.g. ticking a box).</w:t>
      </w:r>
    </w:p>
    <w:p w14:paraId="7D666C65" w14:textId="77777777" w:rsidR="00744F80" w:rsidRPr="000B0680" w:rsidRDefault="00744F80" w:rsidP="00744F80">
      <w:pPr>
        <w:pStyle w:val="Heading2"/>
        <w:rPr>
          <w:rFonts w:ascii="Calibri" w:hAnsi="Calibri" w:cs="Calibri"/>
          <w:b/>
          <w:color w:val="auto"/>
          <w:sz w:val="22"/>
          <w:szCs w:val="22"/>
          <w:lang w:val="en"/>
        </w:rPr>
      </w:pPr>
      <w:r w:rsidRPr="000B0680">
        <w:rPr>
          <w:rFonts w:ascii="Calibri" w:hAnsi="Calibri" w:cs="Calibri"/>
          <w:b/>
          <w:color w:val="auto"/>
          <w:sz w:val="22"/>
          <w:szCs w:val="22"/>
          <w:lang w:val="en"/>
        </w:rPr>
        <w:t>Data Controller</w:t>
      </w:r>
    </w:p>
    <w:p w14:paraId="5D5969C2" w14:textId="77777777" w:rsidR="00744F80" w:rsidRPr="00A83A3F" w:rsidRDefault="00744F80" w:rsidP="00744F80">
      <w:pPr>
        <w:pStyle w:val="NormalWeb"/>
        <w:rPr>
          <w:rFonts w:ascii="Calibri" w:hAnsi="Calibri" w:cs="Calibri"/>
          <w:sz w:val="22"/>
          <w:szCs w:val="22"/>
          <w:lang w:val="en"/>
        </w:rPr>
      </w:pPr>
      <w:r w:rsidRPr="00A83A3F">
        <w:rPr>
          <w:rFonts w:ascii="Calibri" w:hAnsi="Calibri" w:cs="Calibri"/>
          <w:sz w:val="22"/>
          <w:szCs w:val="22"/>
          <w:lang w:val="en"/>
        </w:rPr>
        <w:t xml:space="preserve">A “data controller” refers to a person, company, or other body which decides the purposes and methods of processing personal data. </w:t>
      </w:r>
    </w:p>
    <w:p w14:paraId="10412481" w14:textId="77777777" w:rsidR="00744F80" w:rsidRPr="000B0680" w:rsidRDefault="00744F80" w:rsidP="00744F80">
      <w:pPr>
        <w:pStyle w:val="Heading2"/>
        <w:rPr>
          <w:rFonts w:ascii="Calibri" w:hAnsi="Calibri" w:cs="Calibri"/>
          <w:b/>
          <w:color w:val="auto"/>
          <w:sz w:val="22"/>
          <w:szCs w:val="22"/>
          <w:lang w:val="en"/>
        </w:rPr>
      </w:pPr>
      <w:r w:rsidRPr="000B0680">
        <w:rPr>
          <w:rFonts w:ascii="Calibri" w:hAnsi="Calibri" w:cs="Calibri"/>
          <w:b/>
          <w:color w:val="auto"/>
          <w:sz w:val="22"/>
          <w:szCs w:val="22"/>
          <w:lang w:val="en"/>
        </w:rPr>
        <w:t>Data Processor</w:t>
      </w:r>
    </w:p>
    <w:p w14:paraId="2E22105A" w14:textId="77777777" w:rsidR="00744F80" w:rsidRPr="00A83A3F" w:rsidRDefault="00744F80" w:rsidP="00744F80">
      <w:pPr>
        <w:pStyle w:val="NormalWeb"/>
        <w:rPr>
          <w:rFonts w:ascii="Calibri" w:hAnsi="Calibri" w:cs="Calibri"/>
          <w:sz w:val="22"/>
          <w:szCs w:val="22"/>
          <w:lang w:val="en"/>
        </w:rPr>
      </w:pPr>
      <w:r w:rsidRPr="00A83A3F">
        <w:rPr>
          <w:rFonts w:ascii="Calibri" w:hAnsi="Calibri" w:cs="Calibri"/>
          <w:sz w:val="22"/>
          <w:szCs w:val="22"/>
          <w:lang w:val="en"/>
        </w:rPr>
        <w:t>A “data processor” refers to a person, company, or other body which processes personal data on behalf of a data controller.</w:t>
      </w:r>
    </w:p>
    <w:p w14:paraId="0C9598D4" w14:textId="77777777" w:rsidR="00EB106D" w:rsidRPr="000B0680" w:rsidRDefault="00EB106D" w:rsidP="00EB106D">
      <w:pPr>
        <w:pStyle w:val="Heading2"/>
        <w:rPr>
          <w:rFonts w:ascii="Calibri" w:hAnsi="Calibri" w:cs="Calibri"/>
          <w:b/>
          <w:color w:val="auto"/>
          <w:sz w:val="22"/>
          <w:szCs w:val="22"/>
          <w:lang w:val="en"/>
        </w:rPr>
      </w:pPr>
      <w:r w:rsidRPr="000B0680">
        <w:rPr>
          <w:rFonts w:ascii="Calibri" w:hAnsi="Calibri" w:cs="Calibri"/>
          <w:b/>
          <w:color w:val="auto"/>
          <w:sz w:val="22"/>
          <w:szCs w:val="22"/>
          <w:lang w:val="en"/>
        </w:rPr>
        <w:t>Data Protection Officer (DPO)</w:t>
      </w:r>
    </w:p>
    <w:p w14:paraId="6214AEEB" w14:textId="0D2FD7A9" w:rsidR="00EB106D" w:rsidRPr="00A83A3F" w:rsidRDefault="00EB106D" w:rsidP="00EB106D">
      <w:pPr>
        <w:pStyle w:val="NormalWeb"/>
        <w:rPr>
          <w:rFonts w:ascii="Calibri" w:hAnsi="Calibri" w:cs="Calibri"/>
          <w:sz w:val="22"/>
          <w:szCs w:val="22"/>
          <w:lang w:val="en"/>
        </w:rPr>
      </w:pPr>
      <w:r w:rsidRPr="00A83A3F">
        <w:rPr>
          <w:rFonts w:ascii="Calibri" w:hAnsi="Calibri" w:cs="Calibri"/>
          <w:sz w:val="22"/>
          <w:szCs w:val="22"/>
          <w:lang w:val="en"/>
        </w:rPr>
        <w:lastRenderedPageBreak/>
        <w:t xml:space="preserve">The GDPR requires data controllers and data processors to appoint a Data Protection Officer (DPO) in certain circumstances. A data controller can also voluntarily decide to appoint a </w:t>
      </w:r>
      <w:r w:rsidR="0086105A" w:rsidRPr="00A83A3F">
        <w:rPr>
          <w:rFonts w:ascii="Calibri" w:hAnsi="Calibri" w:cs="Calibri"/>
          <w:sz w:val="22"/>
          <w:szCs w:val="22"/>
          <w:lang w:val="en"/>
        </w:rPr>
        <w:t>DPO</w:t>
      </w:r>
      <w:r w:rsidRPr="00A83A3F">
        <w:rPr>
          <w:rFonts w:ascii="Calibri" w:hAnsi="Calibri" w:cs="Calibri"/>
          <w:sz w:val="22"/>
          <w:szCs w:val="22"/>
          <w:lang w:val="en"/>
        </w:rPr>
        <w:t>.</w:t>
      </w:r>
    </w:p>
    <w:p w14:paraId="367DD1FD" w14:textId="77777777" w:rsidR="00744F80" w:rsidRPr="003A1D2C" w:rsidRDefault="00744F80" w:rsidP="00744F80">
      <w:pPr>
        <w:pStyle w:val="NormalWeb"/>
        <w:rPr>
          <w:rFonts w:ascii="Calibri" w:hAnsi="Calibri" w:cs="Calibri"/>
          <w:b/>
          <w:sz w:val="22"/>
          <w:szCs w:val="22"/>
          <w:lang w:val="en"/>
        </w:rPr>
      </w:pPr>
      <w:r w:rsidRPr="003A1D2C">
        <w:rPr>
          <w:rFonts w:ascii="Calibri" w:hAnsi="Calibri" w:cs="Calibri"/>
          <w:b/>
          <w:sz w:val="22"/>
          <w:szCs w:val="22"/>
          <w:lang w:val="en"/>
        </w:rPr>
        <w:t>Health research</w:t>
      </w:r>
    </w:p>
    <w:p w14:paraId="13ED9C4C" w14:textId="77777777" w:rsidR="00744F80" w:rsidRPr="003A1D2C" w:rsidRDefault="00744F80" w:rsidP="00744F80">
      <w:pPr>
        <w:pStyle w:val="NormalWeb"/>
        <w:rPr>
          <w:rFonts w:asciiTheme="minorHAnsi" w:hAnsiTheme="minorHAnsi" w:cstheme="minorHAnsi"/>
          <w:sz w:val="22"/>
          <w:szCs w:val="22"/>
        </w:rPr>
      </w:pPr>
      <w:r w:rsidRPr="003A1D2C">
        <w:rPr>
          <w:rFonts w:asciiTheme="minorHAnsi" w:hAnsiTheme="minorHAnsi" w:cstheme="minorHAnsi"/>
          <w:sz w:val="22"/>
          <w:szCs w:val="22"/>
        </w:rPr>
        <w:t xml:space="preserve">Regulation </w:t>
      </w:r>
      <w:proofErr w:type="gramStart"/>
      <w:r w:rsidRPr="003A1D2C">
        <w:rPr>
          <w:rFonts w:asciiTheme="minorHAnsi" w:hAnsiTheme="minorHAnsi" w:cstheme="minorHAnsi"/>
          <w:sz w:val="22"/>
          <w:szCs w:val="22"/>
        </w:rPr>
        <w:t>3.(</w:t>
      </w:r>
      <w:proofErr w:type="gramEnd"/>
      <w:r w:rsidRPr="003A1D2C">
        <w:rPr>
          <w:rFonts w:asciiTheme="minorHAnsi" w:hAnsiTheme="minorHAnsi" w:cstheme="minorHAnsi"/>
          <w:sz w:val="22"/>
          <w:szCs w:val="22"/>
        </w:rPr>
        <w:t xml:space="preserve">2) of the Regulations defines </w:t>
      </w:r>
      <w:r>
        <w:rPr>
          <w:rFonts w:asciiTheme="minorHAnsi" w:hAnsiTheme="minorHAnsi" w:cstheme="minorHAnsi"/>
          <w:sz w:val="22"/>
          <w:szCs w:val="22"/>
        </w:rPr>
        <w:t>‘</w:t>
      </w:r>
      <w:r w:rsidRPr="003A1D2C">
        <w:rPr>
          <w:rFonts w:asciiTheme="minorHAnsi" w:hAnsiTheme="minorHAnsi" w:cstheme="minorHAnsi"/>
          <w:sz w:val="22"/>
          <w:szCs w:val="22"/>
        </w:rPr>
        <w:t>health research</w:t>
      </w:r>
      <w:r>
        <w:rPr>
          <w:rFonts w:asciiTheme="minorHAnsi" w:hAnsiTheme="minorHAnsi" w:cstheme="minorHAnsi"/>
          <w:sz w:val="22"/>
          <w:szCs w:val="22"/>
        </w:rPr>
        <w:t>’</w:t>
      </w:r>
      <w:r w:rsidRPr="003A1D2C">
        <w:rPr>
          <w:rFonts w:asciiTheme="minorHAnsi" w:hAnsiTheme="minorHAnsi" w:cstheme="minorHAnsi"/>
          <w:sz w:val="22"/>
          <w:szCs w:val="22"/>
        </w:rPr>
        <w:t xml:space="preserve"> as follows: </w:t>
      </w:r>
    </w:p>
    <w:p w14:paraId="15C627FF" w14:textId="77777777" w:rsidR="00744F80" w:rsidRDefault="00744F80" w:rsidP="00744F80">
      <w:pPr>
        <w:pStyle w:val="Heading2"/>
        <w:rPr>
          <w:rFonts w:asciiTheme="minorHAnsi" w:hAnsiTheme="minorHAnsi" w:cstheme="minorHAnsi"/>
          <w:i/>
          <w:sz w:val="22"/>
          <w:szCs w:val="22"/>
        </w:rPr>
      </w:pPr>
      <w:r w:rsidRPr="003A1D2C">
        <w:rPr>
          <w:rFonts w:asciiTheme="minorHAnsi" w:hAnsiTheme="minorHAnsi" w:cstheme="minorHAnsi"/>
          <w:i/>
          <w:sz w:val="22"/>
          <w:szCs w:val="22"/>
        </w:rPr>
        <w:t>(a) …</w:t>
      </w:r>
      <w:r w:rsidRPr="00D31060">
        <w:rPr>
          <w:rFonts w:asciiTheme="minorHAnsi" w:hAnsiTheme="minorHAnsi" w:cstheme="minorHAnsi"/>
          <w:i/>
          <w:sz w:val="22"/>
          <w:szCs w:val="22"/>
        </w:rPr>
        <w:t xml:space="preserve">“health research” means any of the following scientific research for the purpose of human health: (i) research with the goal of understanding normal and abnormal functioning, at molecular, cellular, organ system and whole body levels; (ii) research that is specifically concerned with innovative strategies, devices, products or services for the diagnosis, treatment or prevention of human disease or injury; (iii) research with the goal of improving the diagnosis and treatment (including the rehabilitation and palliation) of human disease and injury and of improving the health and quality of life of individuals; (iv) research with the goal of improving the efficiency and effectiveness of health professionals and the health care system; (v) research with the goal of improving the health of the population as a whole or any part of the population through a better understanding of the ways in which social, cultural, environmental, occupational and economic factors determine health status; </w:t>
      </w:r>
      <w:r w:rsidRPr="00D31060">
        <w:rPr>
          <w:rFonts w:asciiTheme="minorHAnsi" w:hAnsiTheme="minorHAnsi" w:cstheme="minorHAnsi"/>
          <w:i/>
          <w:sz w:val="22"/>
          <w:szCs w:val="22"/>
        </w:rPr>
        <w:br/>
        <w:t>(b) Health research referred to in clause (i) to (v) of subparagraph (a) may include action taken to establish whether an individual may be suitable for inclusion in the research.</w:t>
      </w:r>
    </w:p>
    <w:p w14:paraId="7FEC9B83" w14:textId="6DF92FC9" w:rsidR="00744F80" w:rsidRPr="000B0680" w:rsidRDefault="00744F80" w:rsidP="00744F80">
      <w:pPr>
        <w:pStyle w:val="Heading2"/>
        <w:rPr>
          <w:rFonts w:ascii="Calibri" w:hAnsi="Calibri" w:cs="Calibri"/>
          <w:b/>
          <w:color w:val="auto"/>
          <w:sz w:val="22"/>
          <w:szCs w:val="22"/>
          <w:lang w:val="en"/>
        </w:rPr>
      </w:pPr>
      <w:r w:rsidRPr="000B0680">
        <w:rPr>
          <w:rFonts w:ascii="Calibri" w:hAnsi="Calibri" w:cs="Calibri"/>
          <w:b/>
          <w:color w:val="auto"/>
          <w:sz w:val="22"/>
          <w:szCs w:val="22"/>
          <w:lang w:val="en"/>
        </w:rPr>
        <w:t>Personal data</w:t>
      </w:r>
    </w:p>
    <w:p w14:paraId="3316EDDF" w14:textId="77777777" w:rsidR="00744F80" w:rsidRPr="00A83A3F" w:rsidRDefault="00744F80" w:rsidP="00744F80">
      <w:pPr>
        <w:pStyle w:val="NormalWeb"/>
        <w:rPr>
          <w:rFonts w:ascii="Calibri" w:hAnsi="Calibri" w:cs="Calibri"/>
          <w:sz w:val="22"/>
          <w:szCs w:val="22"/>
          <w:lang w:val="en"/>
        </w:rPr>
      </w:pPr>
      <w:r w:rsidRPr="00A83A3F">
        <w:rPr>
          <w:rFonts w:ascii="Calibri" w:hAnsi="Calibri" w:cs="Calibri"/>
          <w:sz w:val="22"/>
          <w:szCs w:val="22"/>
          <w:lang w:val="en"/>
        </w:rPr>
        <w:t>The term “personal data” means any information relating to a living person who is identified or identifiable (such a person is referred to as a “data subject”). If the information can be used on its own or in combination with other information to identify a specific person, then it counts as personal data.</w:t>
      </w:r>
    </w:p>
    <w:p w14:paraId="11B05277" w14:textId="77777777" w:rsidR="00744F80" w:rsidRPr="00A83A3F" w:rsidRDefault="00744F80" w:rsidP="00744F80">
      <w:pPr>
        <w:pStyle w:val="NormalWeb"/>
        <w:rPr>
          <w:rFonts w:ascii="Calibri" w:hAnsi="Calibri" w:cs="Calibri"/>
          <w:sz w:val="22"/>
          <w:szCs w:val="22"/>
          <w:lang w:val="en"/>
        </w:rPr>
      </w:pPr>
      <w:r w:rsidRPr="00A83A3F">
        <w:rPr>
          <w:rFonts w:ascii="Calibri" w:hAnsi="Calibri" w:cs="Calibri"/>
          <w:sz w:val="22"/>
          <w:szCs w:val="22"/>
          <w:lang w:val="en"/>
        </w:rPr>
        <w:t>The GDPR gives examples of identifiers, including names, identification numbers, and location data. A person may also be identifiable by reference to factors which are specific to their identity, such as physical, genetic or cultural factors.</w:t>
      </w:r>
    </w:p>
    <w:p w14:paraId="34585987" w14:textId="77777777" w:rsidR="00744F80" w:rsidRPr="000B0680" w:rsidRDefault="00744F80" w:rsidP="00744F80">
      <w:pPr>
        <w:pStyle w:val="Heading2"/>
        <w:rPr>
          <w:rFonts w:ascii="Calibri" w:hAnsi="Calibri" w:cs="Calibri"/>
          <w:b/>
          <w:color w:val="auto"/>
          <w:sz w:val="22"/>
          <w:szCs w:val="22"/>
          <w:lang w:val="en"/>
        </w:rPr>
      </w:pPr>
      <w:r w:rsidRPr="000B0680">
        <w:rPr>
          <w:rFonts w:ascii="Calibri" w:hAnsi="Calibri" w:cs="Calibri"/>
          <w:b/>
          <w:color w:val="auto"/>
          <w:sz w:val="22"/>
          <w:szCs w:val="22"/>
          <w:lang w:val="en"/>
        </w:rPr>
        <w:t>Processing</w:t>
      </w:r>
    </w:p>
    <w:p w14:paraId="3C6F4FA8" w14:textId="77777777" w:rsidR="00744F80" w:rsidRPr="00A83A3F" w:rsidRDefault="00744F80" w:rsidP="00744F80">
      <w:pPr>
        <w:pStyle w:val="NormalWeb"/>
        <w:rPr>
          <w:rFonts w:ascii="Calibri" w:hAnsi="Calibri" w:cs="Calibri"/>
          <w:sz w:val="22"/>
          <w:szCs w:val="22"/>
          <w:lang w:val="en"/>
        </w:rPr>
      </w:pPr>
      <w:r w:rsidRPr="00A83A3F">
        <w:rPr>
          <w:rFonts w:ascii="Calibri" w:hAnsi="Calibri" w:cs="Calibri"/>
          <w:sz w:val="22"/>
          <w:szCs w:val="22"/>
          <w:lang w:val="en"/>
        </w:rPr>
        <w:t>The term “processing” refers to any operation or set of operations performed on personal data. Processing includes storing, collecting, retrieving, using, combining, erasing and destroying personal data, and can involve automated or manual operations.</w:t>
      </w:r>
    </w:p>
    <w:p w14:paraId="72D14F77" w14:textId="77777777" w:rsidR="00744F80" w:rsidRPr="000B0680" w:rsidRDefault="00744F80" w:rsidP="00744F80">
      <w:pPr>
        <w:pStyle w:val="Heading2"/>
        <w:rPr>
          <w:rFonts w:ascii="Calibri" w:hAnsi="Calibri" w:cs="Calibri"/>
          <w:b/>
          <w:color w:val="auto"/>
          <w:sz w:val="22"/>
          <w:szCs w:val="22"/>
          <w:lang w:val="en"/>
        </w:rPr>
      </w:pPr>
      <w:r w:rsidRPr="000B0680">
        <w:rPr>
          <w:rFonts w:ascii="Calibri" w:hAnsi="Calibri" w:cs="Calibri"/>
          <w:b/>
          <w:color w:val="auto"/>
          <w:sz w:val="22"/>
          <w:szCs w:val="22"/>
          <w:lang w:val="en"/>
        </w:rPr>
        <w:t>Profiling</w:t>
      </w:r>
    </w:p>
    <w:p w14:paraId="62E26F68" w14:textId="77777777" w:rsidR="00744F80" w:rsidRPr="00A83A3F" w:rsidRDefault="00744F80" w:rsidP="00744F80">
      <w:pPr>
        <w:pStyle w:val="NormalWeb"/>
        <w:rPr>
          <w:rFonts w:ascii="Calibri" w:hAnsi="Calibri" w:cs="Calibri"/>
          <w:sz w:val="22"/>
          <w:szCs w:val="22"/>
          <w:lang w:val="en"/>
        </w:rPr>
      </w:pPr>
      <w:r w:rsidRPr="00A83A3F">
        <w:rPr>
          <w:rFonts w:ascii="Calibri" w:hAnsi="Calibri" w:cs="Calibri"/>
          <w:sz w:val="22"/>
          <w:szCs w:val="22"/>
          <w:lang w:val="en"/>
        </w:rPr>
        <w:t xml:space="preserve">Profiling is any kind of automated processing of personal data that involves </w:t>
      </w:r>
      <w:proofErr w:type="spellStart"/>
      <w:r w:rsidRPr="00A83A3F">
        <w:rPr>
          <w:rFonts w:ascii="Calibri" w:hAnsi="Calibri" w:cs="Calibri"/>
          <w:sz w:val="22"/>
          <w:szCs w:val="22"/>
          <w:lang w:val="en"/>
        </w:rPr>
        <w:t>analysing</w:t>
      </w:r>
      <w:proofErr w:type="spellEnd"/>
      <w:r w:rsidRPr="00A83A3F">
        <w:rPr>
          <w:rFonts w:ascii="Calibri" w:hAnsi="Calibri" w:cs="Calibri"/>
          <w:sz w:val="22"/>
          <w:szCs w:val="22"/>
          <w:lang w:val="en"/>
        </w:rPr>
        <w:t xml:space="preserve"> or predicting your </w:t>
      </w:r>
      <w:proofErr w:type="spellStart"/>
      <w:r w:rsidRPr="00A83A3F">
        <w:rPr>
          <w:rFonts w:ascii="Calibri" w:hAnsi="Calibri" w:cs="Calibri"/>
          <w:sz w:val="22"/>
          <w:szCs w:val="22"/>
          <w:lang w:val="en"/>
        </w:rPr>
        <w:t>behaviour</w:t>
      </w:r>
      <w:proofErr w:type="spellEnd"/>
      <w:r w:rsidRPr="00A83A3F">
        <w:rPr>
          <w:rFonts w:ascii="Calibri" w:hAnsi="Calibri" w:cs="Calibri"/>
          <w:sz w:val="22"/>
          <w:szCs w:val="22"/>
          <w:lang w:val="en"/>
        </w:rPr>
        <w:t>, habits or interests.</w:t>
      </w:r>
    </w:p>
    <w:p w14:paraId="23D8C745" w14:textId="77777777" w:rsidR="00744F80" w:rsidRPr="000B0680" w:rsidRDefault="00744F80" w:rsidP="00744F80">
      <w:pPr>
        <w:pStyle w:val="Heading2"/>
        <w:rPr>
          <w:rFonts w:ascii="Calibri" w:hAnsi="Calibri" w:cs="Calibri"/>
          <w:b/>
          <w:color w:val="auto"/>
          <w:sz w:val="22"/>
          <w:szCs w:val="22"/>
          <w:lang w:val="en"/>
        </w:rPr>
      </w:pPr>
      <w:r w:rsidRPr="000B0680">
        <w:rPr>
          <w:rFonts w:ascii="Calibri" w:hAnsi="Calibri" w:cs="Calibri"/>
          <w:b/>
          <w:color w:val="auto"/>
          <w:sz w:val="22"/>
          <w:szCs w:val="22"/>
          <w:lang w:val="en"/>
        </w:rPr>
        <w:t>Special categories of personal data</w:t>
      </w:r>
    </w:p>
    <w:p w14:paraId="4E61576A" w14:textId="77777777" w:rsidR="00744F80" w:rsidRPr="00A83A3F" w:rsidRDefault="00744F80" w:rsidP="00744F80">
      <w:pPr>
        <w:pStyle w:val="NormalWeb"/>
        <w:rPr>
          <w:rFonts w:ascii="Calibri" w:hAnsi="Calibri" w:cs="Calibri"/>
          <w:sz w:val="22"/>
          <w:szCs w:val="22"/>
          <w:lang w:val="en"/>
        </w:rPr>
      </w:pPr>
      <w:r w:rsidRPr="00A83A3F">
        <w:rPr>
          <w:rFonts w:ascii="Calibri" w:hAnsi="Calibri" w:cs="Calibri"/>
          <w:sz w:val="22"/>
          <w:szCs w:val="22"/>
          <w:lang w:val="en"/>
        </w:rPr>
        <w:t>Certain types of sensitive personal data are subject to additional protection under the GDPR. These are listed under Article 9 of the GDPR as “special categories” of personal data. The special categories are:</w:t>
      </w:r>
    </w:p>
    <w:p w14:paraId="076363F0" w14:textId="77777777" w:rsidR="00744F80" w:rsidRPr="00A83A3F" w:rsidRDefault="00744F80" w:rsidP="00744F80">
      <w:pPr>
        <w:numPr>
          <w:ilvl w:val="0"/>
          <w:numId w:val="3"/>
        </w:numPr>
        <w:spacing w:before="100" w:beforeAutospacing="1" w:after="100" w:afterAutospacing="1" w:line="240" w:lineRule="auto"/>
        <w:rPr>
          <w:rFonts w:ascii="Calibri" w:hAnsi="Calibri" w:cs="Calibri"/>
          <w:lang w:val="en"/>
        </w:rPr>
      </w:pPr>
      <w:r w:rsidRPr="00A83A3F">
        <w:rPr>
          <w:rFonts w:ascii="Calibri" w:hAnsi="Calibri" w:cs="Calibri"/>
          <w:lang w:val="en"/>
        </w:rPr>
        <w:t>personal data revealing racial or ethnic origin,</w:t>
      </w:r>
    </w:p>
    <w:p w14:paraId="0AFDAD48" w14:textId="77777777" w:rsidR="00744F80" w:rsidRPr="00A83A3F" w:rsidRDefault="00744F80" w:rsidP="00744F80">
      <w:pPr>
        <w:numPr>
          <w:ilvl w:val="0"/>
          <w:numId w:val="3"/>
        </w:numPr>
        <w:spacing w:before="100" w:beforeAutospacing="1" w:after="100" w:afterAutospacing="1" w:line="240" w:lineRule="auto"/>
        <w:rPr>
          <w:rFonts w:ascii="Calibri" w:hAnsi="Calibri" w:cs="Calibri"/>
          <w:lang w:val="en"/>
        </w:rPr>
      </w:pPr>
      <w:r w:rsidRPr="00A83A3F">
        <w:rPr>
          <w:rFonts w:ascii="Calibri" w:hAnsi="Calibri" w:cs="Calibri"/>
          <w:lang w:val="en"/>
        </w:rPr>
        <w:t>political opinions,</w:t>
      </w:r>
    </w:p>
    <w:p w14:paraId="40ED5462" w14:textId="77777777" w:rsidR="00744F80" w:rsidRPr="00A83A3F" w:rsidRDefault="00744F80" w:rsidP="00744F80">
      <w:pPr>
        <w:numPr>
          <w:ilvl w:val="0"/>
          <w:numId w:val="3"/>
        </w:numPr>
        <w:spacing w:before="100" w:beforeAutospacing="1" w:after="100" w:afterAutospacing="1" w:line="240" w:lineRule="auto"/>
        <w:rPr>
          <w:rFonts w:ascii="Calibri" w:hAnsi="Calibri" w:cs="Calibri"/>
          <w:lang w:val="en"/>
        </w:rPr>
      </w:pPr>
      <w:r w:rsidRPr="00A83A3F">
        <w:rPr>
          <w:rFonts w:ascii="Calibri" w:hAnsi="Calibri" w:cs="Calibri"/>
          <w:lang w:val="en"/>
        </w:rPr>
        <w:lastRenderedPageBreak/>
        <w:t>religious or philosophical beliefs,</w:t>
      </w:r>
    </w:p>
    <w:p w14:paraId="6BCB1A67" w14:textId="77777777" w:rsidR="00744F80" w:rsidRPr="00A83A3F" w:rsidRDefault="00744F80" w:rsidP="00744F80">
      <w:pPr>
        <w:numPr>
          <w:ilvl w:val="0"/>
          <w:numId w:val="3"/>
        </w:numPr>
        <w:spacing w:before="100" w:beforeAutospacing="1" w:after="100" w:afterAutospacing="1" w:line="240" w:lineRule="auto"/>
        <w:rPr>
          <w:rFonts w:ascii="Calibri" w:hAnsi="Calibri" w:cs="Calibri"/>
          <w:lang w:val="en"/>
        </w:rPr>
      </w:pPr>
      <w:r w:rsidRPr="00A83A3F">
        <w:rPr>
          <w:rFonts w:ascii="Calibri" w:hAnsi="Calibri" w:cs="Calibri"/>
          <w:lang w:val="en"/>
        </w:rPr>
        <w:t>trade union membership,</w:t>
      </w:r>
    </w:p>
    <w:p w14:paraId="69C0C359" w14:textId="77777777" w:rsidR="00744F80" w:rsidRPr="00A83A3F" w:rsidRDefault="00744F80" w:rsidP="00744F80">
      <w:pPr>
        <w:numPr>
          <w:ilvl w:val="0"/>
          <w:numId w:val="3"/>
        </w:numPr>
        <w:spacing w:before="100" w:beforeAutospacing="1" w:after="100" w:afterAutospacing="1" w:line="240" w:lineRule="auto"/>
        <w:rPr>
          <w:rFonts w:ascii="Calibri" w:hAnsi="Calibri" w:cs="Calibri"/>
          <w:lang w:val="en"/>
        </w:rPr>
      </w:pPr>
      <w:r w:rsidRPr="00A83A3F">
        <w:rPr>
          <w:rFonts w:ascii="Calibri" w:hAnsi="Calibri" w:cs="Calibri"/>
          <w:lang w:val="en"/>
        </w:rPr>
        <w:t>genetic data and biometric data processed for the purpose of uniquely identifying a natural person,</w:t>
      </w:r>
    </w:p>
    <w:p w14:paraId="231316C2" w14:textId="77777777" w:rsidR="00744F80" w:rsidRPr="00A83A3F" w:rsidRDefault="00744F80" w:rsidP="00744F80">
      <w:pPr>
        <w:numPr>
          <w:ilvl w:val="0"/>
          <w:numId w:val="3"/>
        </w:numPr>
        <w:spacing w:before="100" w:beforeAutospacing="1" w:after="100" w:afterAutospacing="1" w:line="240" w:lineRule="auto"/>
        <w:rPr>
          <w:rFonts w:ascii="Calibri" w:hAnsi="Calibri" w:cs="Calibri"/>
          <w:lang w:val="en"/>
        </w:rPr>
      </w:pPr>
      <w:r w:rsidRPr="00A83A3F">
        <w:rPr>
          <w:rFonts w:ascii="Calibri" w:hAnsi="Calibri" w:cs="Calibri"/>
          <w:lang w:val="en"/>
        </w:rPr>
        <w:t>data concerning health,</w:t>
      </w:r>
    </w:p>
    <w:p w14:paraId="2E5CD9C2" w14:textId="77777777" w:rsidR="00744F80" w:rsidRPr="00A83A3F" w:rsidRDefault="00744F80" w:rsidP="00744F80">
      <w:pPr>
        <w:numPr>
          <w:ilvl w:val="0"/>
          <w:numId w:val="3"/>
        </w:numPr>
        <w:spacing w:before="100" w:beforeAutospacing="1" w:after="100" w:afterAutospacing="1" w:line="240" w:lineRule="auto"/>
        <w:rPr>
          <w:rFonts w:ascii="Calibri" w:hAnsi="Calibri" w:cs="Calibri"/>
          <w:lang w:val="en"/>
        </w:rPr>
      </w:pPr>
      <w:r w:rsidRPr="00A83A3F">
        <w:rPr>
          <w:rFonts w:ascii="Calibri" w:hAnsi="Calibri" w:cs="Calibri"/>
          <w:lang w:val="en"/>
        </w:rPr>
        <w:t>data concerning a natural person’s sex life or sexual orientation.</w:t>
      </w:r>
    </w:p>
    <w:p w14:paraId="3B1AB3AE" w14:textId="77777777" w:rsidR="00744F80" w:rsidRPr="00A83A3F" w:rsidRDefault="00744F80" w:rsidP="00744F80">
      <w:pPr>
        <w:pStyle w:val="NormalWeb"/>
        <w:rPr>
          <w:rFonts w:ascii="Calibri" w:hAnsi="Calibri" w:cs="Calibri"/>
          <w:sz w:val="22"/>
          <w:szCs w:val="22"/>
          <w:lang w:val="en"/>
        </w:rPr>
      </w:pPr>
      <w:r w:rsidRPr="00A83A3F">
        <w:rPr>
          <w:rFonts w:ascii="Calibri" w:hAnsi="Calibri" w:cs="Calibri"/>
          <w:sz w:val="22"/>
          <w:szCs w:val="22"/>
          <w:lang w:val="en"/>
        </w:rPr>
        <w:t>Processing of these special categories is prohibited, except in limited circumstances set out in Article 9 of the GDPR.</w:t>
      </w:r>
    </w:p>
    <w:p w14:paraId="53A61976" w14:textId="77777777" w:rsidR="00EB106D" w:rsidRPr="00A83A3F" w:rsidRDefault="00EB106D">
      <w:pPr>
        <w:rPr>
          <w:rFonts w:ascii="Calibri" w:hAnsi="Calibri" w:cs="Calibri"/>
        </w:rPr>
      </w:pPr>
    </w:p>
    <w:sectPr w:rsidR="00EB106D" w:rsidRPr="00A83A3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668F75" w14:textId="77777777" w:rsidR="00866006" w:rsidRDefault="00866006" w:rsidP="003A1D2C">
      <w:pPr>
        <w:spacing w:after="0" w:line="240" w:lineRule="auto"/>
      </w:pPr>
      <w:r>
        <w:separator/>
      </w:r>
    </w:p>
  </w:endnote>
  <w:endnote w:type="continuationSeparator" w:id="0">
    <w:p w14:paraId="59B7A36A" w14:textId="77777777" w:rsidR="00866006" w:rsidRDefault="00866006" w:rsidP="003A1D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inherit">
    <w:altName w:val="Times New Roman"/>
    <w:panose1 w:val="00000000000000000000"/>
    <w:charset w:val="00"/>
    <w:family w:val="roman"/>
    <w:notTrueType/>
    <w:pitch w:val="default"/>
  </w:font>
  <w:font w:name="Segoe UI">
    <w:altName w:val="Calibr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1C7005" w14:textId="77777777" w:rsidR="00866006" w:rsidRDefault="00866006" w:rsidP="003A1D2C">
      <w:pPr>
        <w:spacing w:after="0" w:line="240" w:lineRule="auto"/>
      </w:pPr>
      <w:r>
        <w:separator/>
      </w:r>
    </w:p>
  </w:footnote>
  <w:footnote w:type="continuationSeparator" w:id="0">
    <w:p w14:paraId="5A77EA3E" w14:textId="77777777" w:rsidR="00866006" w:rsidRDefault="00866006" w:rsidP="003A1D2C">
      <w:pPr>
        <w:spacing w:after="0" w:line="240" w:lineRule="auto"/>
      </w:pPr>
      <w:r>
        <w:continuationSeparator/>
      </w:r>
    </w:p>
  </w:footnote>
  <w:footnote w:id="1">
    <w:p w14:paraId="628FA83D" w14:textId="77777777" w:rsidR="00716B84" w:rsidRDefault="00716B84" w:rsidP="00D31060">
      <w:pPr>
        <w:pStyle w:val="FootnoteText"/>
      </w:pPr>
      <w:r>
        <w:rPr>
          <w:rStyle w:val="FootnoteReference"/>
        </w:rPr>
        <w:footnoteRef/>
      </w:r>
      <w:r>
        <w:t xml:space="preserve"> Section 3.3.1. of Article 29 Working Party Guidelines on Consent under Regulation 2016/679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8F78E1"/>
    <w:multiLevelType w:val="hybridMultilevel"/>
    <w:tmpl w:val="55F880C2"/>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449E2B99"/>
    <w:multiLevelType w:val="multilevel"/>
    <w:tmpl w:val="9CB20A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9226F12"/>
    <w:multiLevelType w:val="multilevel"/>
    <w:tmpl w:val="A64AFD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94E551A"/>
    <w:multiLevelType w:val="multilevel"/>
    <w:tmpl w:val="FEBC3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8531936A-CD65-49F8-AAE0-F76DE770AEF6}"/>
    <w:docVar w:name="dgnword-eventsink" w:val="724421312"/>
  </w:docVars>
  <w:rsids>
    <w:rsidRoot w:val="00815816"/>
    <w:rsid w:val="00020D74"/>
    <w:rsid w:val="00023EEC"/>
    <w:rsid w:val="0005733C"/>
    <w:rsid w:val="00060BF4"/>
    <w:rsid w:val="00066D6D"/>
    <w:rsid w:val="00072294"/>
    <w:rsid w:val="00080CCF"/>
    <w:rsid w:val="000A5997"/>
    <w:rsid w:val="000B0680"/>
    <w:rsid w:val="000C25DA"/>
    <w:rsid w:val="00187389"/>
    <w:rsid w:val="001A7758"/>
    <w:rsid w:val="001D6532"/>
    <w:rsid w:val="002029D1"/>
    <w:rsid w:val="00224C3A"/>
    <w:rsid w:val="0024166E"/>
    <w:rsid w:val="0025012B"/>
    <w:rsid w:val="00250FF8"/>
    <w:rsid w:val="002925BE"/>
    <w:rsid w:val="002A026C"/>
    <w:rsid w:val="00305071"/>
    <w:rsid w:val="003158E2"/>
    <w:rsid w:val="003245E5"/>
    <w:rsid w:val="00353460"/>
    <w:rsid w:val="0037534E"/>
    <w:rsid w:val="003875B4"/>
    <w:rsid w:val="003A1D2C"/>
    <w:rsid w:val="003A4644"/>
    <w:rsid w:val="003A58E4"/>
    <w:rsid w:val="003A7233"/>
    <w:rsid w:val="003F677D"/>
    <w:rsid w:val="00410D3F"/>
    <w:rsid w:val="00424F72"/>
    <w:rsid w:val="004271DD"/>
    <w:rsid w:val="00432119"/>
    <w:rsid w:val="00456CD3"/>
    <w:rsid w:val="004A36EE"/>
    <w:rsid w:val="004D3527"/>
    <w:rsid w:val="004F4267"/>
    <w:rsid w:val="0053261B"/>
    <w:rsid w:val="00563A9E"/>
    <w:rsid w:val="00572BAC"/>
    <w:rsid w:val="00605278"/>
    <w:rsid w:val="00606E35"/>
    <w:rsid w:val="006102D4"/>
    <w:rsid w:val="00627D8F"/>
    <w:rsid w:val="00627F43"/>
    <w:rsid w:val="006678AC"/>
    <w:rsid w:val="00670805"/>
    <w:rsid w:val="006B151A"/>
    <w:rsid w:val="006C744F"/>
    <w:rsid w:val="006D165A"/>
    <w:rsid w:val="00716B84"/>
    <w:rsid w:val="00716D38"/>
    <w:rsid w:val="00732406"/>
    <w:rsid w:val="00744F80"/>
    <w:rsid w:val="007508B7"/>
    <w:rsid w:val="00797E2D"/>
    <w:rsid w:val="007A1FF1"/>
    <w:rsid w:val="00806229"/>
    <w:rsid w:val="00815816"/>
    <w:rsid w:val="008437A9"/>
    <w:rsid w:val="0086105A"/>
    <w:rsid w:val="00866006"/>
    <w:rsid w:val="00892B6B"/>
    <w:rsid w:val="008C2066"/>
    <w:rsid w:val="008C7C31"/>
    <w:rsid w:val="008D01FA"/>
    <w:rsid w:val="008E2CA2"/>
    <w:rsid w:val="00962E3B"/>
    <w:rsid w:val="009B599F"/>
    <w:rsid w:val="009C572C"/>
    <w:rsid w:val="009C5BB5"/>
    <w:rsid w:val="009C6690"/>
    <w:rsid w:val="009D45F8"/>
    <w:rsid w:val="00A164F9"/>
    <w:rsid w:val="00A37D94"/>
    <w:rsid w:val="00A802BD"/>
    <w:rsid w:val="00A83A3F"/>
    <w:rsid w:val="00AA14F9"/>
    <w:rsid w:val="00AC5BEA"/>
    <w:rsid w:val="00B200AD"/>
    <w:rsid w:val="00B678DB"/>
    <w:rsid w:val="00B85E6A"/>
    <w:rsid w:val="00B93E50"/>
    <w:rsid w:val="00BC37EF"/>
    <w:rsid w:val="00BE2B4D"/>
    <w:rsid w:val="00BE6B24"/>
    <w:rsid w:val="00BF2559"/>
    <w:rsid w:val="00C03883"/>
    <w:rsid w:val="00C04368"/>
    <w:rsid w:val="00C0709E"/>
    <w:rsid w:val="00C15BCA"/>
    <w:rsid w:val="00C479BC"/>
    <w:rsid w:val="00C62F1A"/>
    <w:rsid w:val="00C66D0E"/>
    <w:rsid w:val="00CD349D"/>
    <w:rsid w:val="00D31060"/>
    <w:rsid w:val="00D377B1"/>
    <w:rsid w:val="00D61E07"/>
    <w:rsid w:val="00DF5D7D"/>
    <w:rsid w:val="00E01F11"/>
    <w:rsid w:val="00EB0C9D"/>
    <w:rsid w:val="00EB106D"/>
    <w:rsid w:val="00F45A0A"/>
    <w:rsid w:val="00FB0112"/>
    <w:rsid w:val="00FD5ECE"/>
    <w:rsid w:val="00FE526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F3C3C"/>
  <w15:chartTrackingRefBased/>
  <w15:docId w15:val="{CC16E940-C415-45D1-9C8A-53195DB56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15816"/>
  </w:style>
  <w:style w:type="paragraph" w:styleId="Heading1">
    <w:name w:val="heading 1"/>
    <w:basedOn w:val="Normal"/>
    <w:next w:val="Normal"/>
    <w:link w:val="Heading1Char"/>
    <w:uiPriority w:val="9"/>
    <w:qFormat/>
    <w:rsid w:val="00EB106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EB106D"/>
    <w:pPr>
      <w:spacing w:after="100" w:afterAutospacing="1" w:line="240" w:lineRule="auto"/>
      <w:outlineLvl w:val="1"/>
    </w:pPr>
    <w:rPr>
      <w:rFonts w:ascii="inherit" w:eastAsia="Times New Roman" w:hAnsi="inherit" w:cs="Times New Roman"/>
      <w:color w:val="023D36"/>
      <w:sz w:val="36"/>
      <w:szCs w:val="36"/>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158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58E4"/>
    <w:pPr>
      <w:ind w:left="720"/>
      <w:contextualSpacing/>
    </w:pPr>
  </w:style>
  <w:style w:type="character" w:styleId="Hyperlink">
    <w:name w:val="Hyperlink"/>
    <w:basedOn w:val="DefaultParagraphFont"/>
    <w:uiPriority w:val="99"/>
    <w:unhideWhenUsed/>
    <w:rsid w:val="00020D74"/>
    <w:rPr>
      <w:color w:val="0563C1" w:themeColor="hyperlink"/>
      <w:u w:val="single"/>
    </w:rPr>
  </w:style>
  <w:style w:type="character" w:customStyle="1" w:styleId="UnresolvedMention1">
    <w:name w:val="Unresolved Mention1"/>
    <w:basedOn w:val="DefaultParagraphFont"/>
    <w:uiPriority w:val="99"/>
    <w:semiHidden/>
    <w:unhideWhenUsed/>
    <w:rsid w:val="00020D74"/>
    <w:rPr>
      <w:color w:val="605E5C"/>
      <w:shd w:val="clear" w:color="auto" w:fill="E1DFDD"/>
    </w:rPr>
  </w:style>
  <w:style w:type="character" w:styleId="CommentReference">
    <w:name w:val="annotation reference"/>
    <w:basedOn w:val="DefaultParagraphFont"/>
    <w:uiPriority w:val="99"/>
    <w:semiHidden/>
    <w:unhideWhenUsed/>
    <w:rsid w:val="00BE6B24"/>
    <w:rPr>
      <w:sz w:val="16"/>
      <w:szCs w:val="16"/>
    </w:rPr>
  </w:style>
  <w:style w:type="paragraph" w:styleId="CommentText">
    <w:name w:val="annotation text"/>
    <w:basedOn w:val="Normal"/>
    <w:link w:val="CommentTextChar"/>
    <w:uiPriority w:val="99"/>
    <w:semiHidden/>
    <w:unhideWhenUsed/>
    <w:rsid w:val="00BE6B24"/>
    <w:pPr>
      <w:spacing w:line="240" w:lineRule="auto"/>
    </w:pPr>
    <w:rPr>
      <w:sz w:val="20"/>
      <w:szCs w:val="20"/>
    </w:rPr>
  </w:style>
  <w:style w:type="character" w:customStyle="1" w:styleId="CommentTextChar">
    <w:name w:val="Comment Text Char"/>
    <w:basedOn w:val="DefaultParagraphFont"/>
    <w:link w:val="CommentText"/>
    <w:uiPriority w:val="99"/>
    <w:semiHidden/>
    <w:rsid w:val="00BE6B24"/>
    <w:rPr>
      <w:sz w:val="20"/>
      <w:szCs w:val="20"/>
    </w:rPr>
  </w:style>
  <w:style w:type="paragraph" w:styleId="CommentSubject">
    <w:name w:val="annotation subject"/>
    <w:basedOn w:val="CommentText"/>
    <w:next w:val="CommentText"/>
    <w:link w:val="CommentSubjectChar"/>
    <w:uiPriority w:val="99"/>
    <w:semiHidden/>
    <w:unhideWhenUsed/>
    <w:rsid w:val="00BE6B24"/>
    <w:rPr>
      <w:b/>
      <w:bCs/>
    </w:rPr>
  </w:style>
  <w:style w:type="character" w:customStyle="1" w:styleId="CommentSubjectChar">
    <w:name w:val="Comment Subject Char"/>
    <w:basedOn w:val="CommentTextChar"/>
    <w:link w:val="CommentSubject"/>
    <w:uiPriority w:val="99"/>
    <w:semiHidden/>
    <w:rsid w:val="00BE6B24"/>
    <w:rPr>
      <w:b/>
      <w:bCs/>
      <w:sz w:val="20"/>
      <w:szCs w:val="20"/>
    </w:rPr>
  </w:style>
  <w:style w:type="paragraph" w:styleId="BalloonText">
    <w:name w:val="Balloon Text"/>
    <w:basedOn w:val="Normal"/>
    <w:link w:val="BalloonTextChar"/>
    <w:uiPriority w:val="99"/>
    <w:semiHidden/>
    <w:unhideWhenUsed/>
    <w:rsid w:val="00BE6B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6B24"/>
    <w:rPr>
      <w:rFonts w:ascii="Segoe UI" w:hAnsi="Segoe UI" w:cs="Segoe UI"/>
      <w:sz w:val="18"/>
      <w:szCs w:val="18"/>
    </w:rPr>
  </w:style>
  <w:style w:type="character" w:customStyle="1" w:styleId="Heading2Char">
    <w:name w:val="Heading 2 Char"/>
    <w:basedOn w:val="DefaultParagraphFont"/>
    <w:link w:val="Heading2"/>
    <w:uiPriority w:val="9"/>
    <w:rsid w:val="00EB106D"/>
    <w:rPr>
      <w:rFonts w:ascii="inherit" w:eastAsia="Times New Roman" w:hAnsi="inherit" w:cs="Times New Roman"/>
      <w:color w:val="023D36"/>
      <w:sz w:val="36"/>
      <w:szCs w:val="36"/>
      <w:lang w:eastAsia="en-IE"/>
    </w:rPr>
  </w:style>
  <w:style w:type="paragraph" w:styleId="NormalWeb">
    <w:name w:val="Normal (Web)"/>
    <w:basedOn w:val="Normal"/>
    <w:uiPriority w:val="99"/>
    <w:semiHidden/>
    <w:unhideWhenUsed/>
    <w:rsid w:val="00EB106D"/>
    <w:pPr>
      <w:spacing w:after="100" w:afterAutospacing="1" w:line="240" w:lineRule="auto"/>
    </w:pPr>
    <w:rPr>
      <w:rFonts w:ascii="Times New Roman" w:eastAsia="Times New Roman" w:hAnsi="Times New Roman" w:cs="Times New Roman"/>
      <w:sz w:val="24"/>
      <w:szCs w:val="24"/>
      <w:lang w:eastAsia="en-IE"/>
    </w:rPr>
  </w:style>
  <w:style w:type="character" w:customStyle="1" w:styleId="Heading1Char">
    <w:name w:val="Heading 1 Char"/>
    <w:basedOn w:val="DefaultParagraphFont"/>
    <w:link w:val="Heading1"/>
    <w:uiPriority w:val="9"/>
    <w:rsid w:val="00EB106D"/>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962E3B"/>
    <w:rPr>
      <w:color w:val="954F72" w:themeColor="followedHyperlink"/>
      <w:u w:val="single"/>
    </w:rPr>
  </w:style>
  <w:style w:type="paragraph" w:styleId="FootnoteText">
    <w:name w:val="footnote text"/>
    <w:basedOn w:val="Normal"/>
    <w:link w:val="FootnoteTextChar"/>
    <w:uiPriority w:val="99"/>
    <w:semiHidden/>
    <w:unhideWhenUsed/>
    <w:rsid w:val="003A1D2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A1D2C"/>
    <w:rPr>
      <w:sz w:val="20"/>
      <w:szCs w:val="20"/>
    </w:rPr>
  </w:style>
  <w:style w:type="character" w:styleId="FootnoteReference">
    <w:name w:val="footnote reference"/>
    <w:basedOn w:val="DefaultParagraphFont"/>
    <w:uiPriority w:val="99"/>
    <w:semiHidden/>
    <w:unhideWhenUsed/>
    <w:rsid w:val="003A1D2C"/>
    <w:rPr>
      <w:vertAlign w:val="superscript"/>
    </w:rPr>
  </w:style>
  <w:style w:type="character" w:styleId="UnresolvedMention">
    <w:name w:val="Unresolved Mention"/>
    <w:basedOn w:val="DefaultParagraphFont"/>
    <w:uiPriority w:val="99"/>
    <w:semiHidden/>
    <w:unhideWhenUsed/>
    <w:rsid w:val="003753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136812">
      <w:bodyDiv w:val="1"/>
      <w:marLeft w:val="0"/>
      <w:marRight w:val="0"/>
      <w:marTop w:val="0"/>
      <w:marBottom w:val="0"/>
      <w:divBdr>
        <w:top w:val="none" w:sz="0" w:space="0" w:color="auto"/>
        <w:left w:val="none" w:sz="0" w:space="0" w:color="auto"/>
        <w:bottom w:val="none" w:sz="0" w:space="0" w:color="auto"/>
        <w:right w:val="none" w:sz="0" w:space="0" w:color="auto"/>
      </w:divBdr>
      <w:divsChild>
        <w:div w:id="1819764069">
          <w:marLeft w:val="0"/>
          <w:marRight w:val="0"/>
          <w:marTop w:val="0"/>
          <w:marBottom w:val="0"/>
          <w:divBdr>
            <w:top w:val="none" w:sz="0" w:space="0" w:color="auto"/>
            <w:left w:val="none" w:sz="0" w:space="0" w:color="auto"/>
            <w:bottom w:val="none" w:sz="0" w:space="0" w:color="auto"/>
            <w:right w:val="none" w:sz="0" w:space="0" w:color="auto"/>
          </w:divBdr>
          <w:divsChild>
            <w:div w:id="1365328303">
              <w:marLeft w:val="-225"/>
              <w:marRight w:val="-225"/>
              <w:marTop w:val="0"/>
              <w:marBottom w:val="0"/>
              <w:divBdr>
                <w:top w:val="none" w:sz="0" w:space="0" w:color="auto"/>
                <w:left w:val="none" w:sz="0" w:space="0" w:color="auto"/>
                <w:bottom w:val="none" w:sz="0" w:space="0" w:color="auto"/>
                <w:right w:val="none" w:sz="0" w:space="0" w:color="auto"/>
              </w:divBdr>
              <w:divsChild>
                <w:div w:id="727873690">
                  <w:marLeft w:val="0"/>
                  <w:marRight w:val="0"/>
                  <w:marTop w:val="0"/>
                  <w:marBottom w:val="0"/>
                  <w:divBdr>
                    <w:top w:val="none" w:sz="0" w:space="0" w:color="auto"/>
                    <w:left w:val="none" w:sz="0" w:space="0" w:color="auto"/>
                    <w:bottom w:val="none" w:sz="0" w:space="0" w:color="auto"/>
                    <w:right w:val="none" w:sz="0" w:space="0" w:color="auto"/>
                  </w:divBdr>
                  <w:divsChild>
                    <w:div w:id="335807903">
                      <w:marLeft w:val="0"/>
                      <w:marRight w:val="0"/>
                      <w:marTop w:val="0"/>
                      <w:marBottom w:val="0"/>
                      <w:divBdr>
                        <w:top w:val="none" w:sz="0" w:space="0" w:color="auto"/>
                        <w:left w:val="none" w:sz="0" w:space="0" w:color="auto"/>
                        <w:bottom w:val="none" w:sz="0" w:space="0" w:color="auto"/>
                        <w:right w:val="none" w:sz="0" w:space="0" w:color="auto"/>
                      </w:divBdr>
                      <w:divsChild>
                        <w:div w:id="70440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3315100">
      <w:bodyDiv w:val="1"/>
      <w:marLeft w:val="0"/>
      <w:marRight w:val="0"/>
      <w:marTop w:val="0"/>
      <w:marBottom w:val="0"/>
      <w:divBdr>
        <w:top w:val="none" w:sz="0" w:space="0" w:color="auto"/>
        <w:left w:val="none" w:sz="0" w:space="0" w:color="auto"/>
        <w:bottom w:val="none" w:sz="0" w:space="0" w:color="auto"/>
        <w:right w:val="none" w:sz="0" w:space="0" w:color="auto"/>
      </w:divBdr>
    </w:div>
    <w:div w:id="645626072">
      <w:bodyDiv w:val="1"/>
      <w:marLeft w:val="0"/>
      <w:marRight w:val="0"/>
      <w:marTop w:val="0"/>
      <w:marBottom w:val="0"/>
      <w:divBdr>
        <w:top w:val="none" w:sz="0" w:space="0" w:color="auto"/>
        <w:left w:val="none" w:sz="0" w:space="0" w:color="auto"/>
        <w:bottom w:val="none" w:sz="0" w:space="0" w:color="auto"/>
        <w:right w:val="none" w:sz="0" w:space="0" w:color="auto"/>
      </w:divBdr>
    </w:div>
    <w:div w:id="1033458067">
      <w:bodyDiv w:val="1"/>
      <w:marLeft w:val="0"/>
      <w:marRight w:val="0"/>
      <w:marTop w:val="0"/>
      <w:marBottom w:val="0"/>
      <w:divBdr>
        <w:top w:val="none" w:sz="0" w:space="0" w:color="auto"/>
        <w:left w:val="none" w:sz="0" w:space="0" w:color="auto"/>
        <w:bottom w:val="none" w:sz="0" w:space="0" w:color="auto"/>
        <w:right w:val="none" w:sz="0" w:space="0" w:color="auto"/>
      </w:divBdr>
      <w:divsChild>
        <w:div w:id="2243670">
          <w:marLeft w:val="0"/>
          <w:marRight w:val="0"/>
          <w:marTop w:val="0"/>
          <w:marBottom w:val="0"/>
          <w:divBdr>
            <w:top w:val="none" w:sz="0" w:space="0" w:color="auto"/>
            <w:left w:val="none" w:sz="0" w:space="0" w:color="auto"/>
            <w:bottom w:val="none" w:sz="0" w:space="0" w:color="auto"/>
            <w:right w:val="none" w:sz="0" w:space="0" w:color="auto"/>
          </w:divBdr>
          <w:divsChild>
            <w:div w:id="1538817656">
              <w:marLeft w:val="0"/>
              <w:marRight w:val="0"/>
              <w:marTop w:val="0"/>
              <w:marBottom w:val="0"/>
              <w:divBdr>
                <w:top w:val="none" w:sz="0" w:space="0" w:color="auto"/>
                <w:left w:val="none" w:sz="0" w:space="0" w:color="auto"/>
                <w:bottom w:val="none" w:sz="0" w:space="0" w:color="auto"/>
                <w:right w:val="none" w:sz="0" w:space="0" w:color="auto"/>
              </w:divBdr>
              <w:divsChild>
                <w:div w:id="960261303">
                  <w:marLeft w:val="0"/>
                  <w:marRight w:val="0"/>
                  <w:marTop w:val="0"/>
                  <w:marBottom w:val="0"/>
                  <w:divBdr>
                    <w:top w:val="none" w:sz="0" w:space="0" w:color="auto"/>
                    <w:left w:val="none" w:sz="0" w:space="0" w:color="auto"/>
                    <w:bottom w:val="none" w:sz="0" w:space="0" w:color="auto"/>
                    <w:right w:val="none" w:sz="0" w:space="0" w:color="auto"/>
                  </w:divBdr>
                  <w:divsChild>
                    <w:div w:id="1583644616">
                      <w:marLeft w:val="-300"/>
                      <w:marRight w:val="-300"/>
                      <w:marTop w:val="0"/>
                      <w:marBottom w:val="0"/>
                      <w:divBdr>
                        <w:top w:val="none" w:sz="0" w:space="0" w:color="auto"/>
                        <w:left w:val="none" w:sz="0" w:space="0" w:color="auto"/>
                        <w:bottom w:val="none" w:sz="0" w:space="0" w:color="auto"/>
                        <w:right w:val="none" w:sz="0" w:space="0" w:color="auto"/>
                      </w:divBdr>
                      <w:divsChild>
                        <w:div w:id="918977717">
                          <w:marLeft w:val="0"/>
                          <w:marRight w:val="0"/>
                          <w:marTop w:val="0"/>
                          <w:marBottom w:val="0"/>
                          <w:divBdr>
                            <w:top w:val="none" w:sz="0" w:space="0" w:color="auto"/>
                            <w:left w:val="none" w:sz="0" w:space="0" w:color="auto"/>
                            <w:bottom w:val="none" w:sz="0" w:space="0" w:color="auto"/>
                            <w:right w:val="none" w:sz="0" w:space="0" w:color="auto"/>
                          </w:divBdr>
                          <w:divsChild>
                            <w:div w:id="1372458864">
                              <w:marLeft w:val="0"/>
                              <w:marRight w:val="0"/>
                              <w:marTop w:val="0"/>
                              <w:marBottom w:val="300"/>
                              <w:divBdr>
                                <w:top w:val="none" w:sz="0" w:space="0" w:color="auto"/>
                                <w:left w:val="none" w:sz="0" w:space="0" w:color="auto"/>
                                <w:bottom w:val="none" w:sz="0" w:space="0" w:color="auto"/>
                                <w:right w:val="none" w:sz="0" w:space="0" w:color="auto"/>
                              </w:divBdr>
                              <w:divsChild>
                                <w:div w:id="294990600">
                                  <w:marLeft w:val="0"/>
                                  <w:marRight w:val="0"/>
                                  <w:marTop w:val="0"/>
                                  <w:marBottom w:val="0"/>
                                  <w:divBdr>
                                    <w:top w:val="none" w:sz="0" w:space="0" w:color="auto"/>
                                    <w:left w:val="none" w:sz="0" w:space="0" w:color="auto"/>
                                    <w:bottom w:val="none" w:sz="0" w:space="0" w:color="auto"/>
                                    <w:right w:val="none" w:sz="0" w:space="0" w:color="auto"/>
                                  </w:divBdr>
                                  <w:divsChild>
                                    <w:div w:id="76439616">
                                      <w:marLeft w:val="0"/>
                                      <w:marRight w:val="0"/>
                                      <w:marTop w:val="0"/>
                                      <w:marBottom w:val="0"/>
                                      <w:divBdr>
                                        <w:top w:val="none" w:sz="0" w:space="0" w:color="auto"/>
                                        <w:left w:val="none" w:sz="0" w:space="0" w:color="auto"/>
                                        <w:bottom w:val="none" w:sz="0" w:space="0" w:color="auto"/>
                                        <w:right w:val="none" w:sz="0" w:space="0" w:color="auto"/>
                                      </w:divBdr>
                                      <w:divsChild>
                                        <w:div w:id="69392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93231082">
      <w:bodyDiv w:val="1"/>
      <w:marLeft w:val="0"/>
      <w:marRight w:val="0"/>
      <w:marTop w:val="0"/>
      <w:marBottom w:val="0"/>
      <w:divBdr>
        <w:top w:val="none" w:sz="0" w:space="0" w:color="auto"/>
        <w:left w:val="none" w:sz="0" w:space="0" w:color="auto"/>
        <w:bottom w:val="none" w:sz="0" w:space="0" w:color="auto"/>
        <w:right w:val="none" w:sz="0" w:space="0" w:color="auto"/>
      </w:divBdr>
      <w:divsChild>
        <w:div w:id="1232279406">
          <w:marLeft w:val="0"/>
          <w:marRight w:val="0"/>
          <w:marTop w:val="0"/>
          <w:marBottom w:val="0"/>
          <w:divBdr>
            <w:top w:val="none" w:sz="0" w:space="0" w:color="auto"/>
            <w:left w:val="none" w:sz="0" w:space="0" w:color="auto"/>
            <w:bottom w:val="none" w:sz="0" w:space="0" w:color="auto"/>
            <w:right w:val="none" w:sz="0" w:space="0" w:color="auto"/>
          </w:divBdr>
          <w:divsChild>
            <w:div w:id="1713918640">
              <w:marLeft w:val="0"/>
              <w:marRight w:val="0"/>
              <w:marTop w:val="0"/>
              <w:marBottom w:val="0"/>
              <w:divBdr>
                <w:top w:val="none" w:sz="0" w:space="0" w:color="auto"/>
                <w:left w:val="none" w:sz="0" w:space="0" w:color="auto"/>
                <w:bottom w:val="none" w:sz="0" w:space="0" w:color="auto"/>
                <w:right w:val="none" w:sz="0" w:space="0" w:color="auto"/>
              </w:divBdr>
              <w:divsChild>
                <w:div w:id="919829345">
                  <w:marLeft w:val="0"/>
                  <w:marRight w:val="0"/>
                  <w:marTop w:val="0"/>
                  <w:marBottom w:val="0"/>
                  <w:divBdr>
                    <w:top w:val="none" w:sz="0" w:space="0" w:color="auto"/>
                    <w:left w:val="none" w:sz="0" w:space="0" w:color="auto"/>
                    <w:bottom w:val="none" w:sz="0" w:space="0" w:color="auto"/>
                    <w:right w:val="none" w:sz="0" w:space="0" w:color="auto"/>
                  </w:divBdr>
                  <w:divsChild>
                    <w:div w:id="1626035421">
                      <w:marLeft w:val="-300"/>
                      <w:marRight w:val="-300"/>
                      <w:marTop w:val="0"/>
                      <w:marBottom w:val="0"/>
                      <w:divBdr>
                        <w:top w:val="none" w:sz="0" w:space="0" w:color="auto"/>
                        <w:left w:val="none" w:sz="0" w:space="0" w:color="auto"/>
                        <w:bottom w:val="none" w:sz="0" w:space="0" w:color="auto"/>
                        <w:right w:val="none" w:sz="0" w:space="0" w:color="auto"/>
                      </w:divBdr>
                      <w:divsChild>
                        <w:div w:id="1033313371">
                          <w:marLeft w:val="0"/>
                          <w:marRight w:val="0"/>
                          <w:marTop w:val="0"/>
                          <w:marBottom w:val="0"/>
                          <w:divBdr>
                            <w:top w:val="none" w:sz="0" w:space="0" w:color="auto"/>
                            <w:left w:val="none" w:sz="0" w:space="0" w:color="auto"/>
                            <w:bottom w:val="none" w:sz="0" w:space="0" w:color="auto"/>
                            <w:right w:val="none" w:sz="0" w:space="0" w:color="auto"/>
                          </w:divBdr>
                          <w:divsChild>
                            <w:div w:id="1454710327">
                              <w:marLeft w:val="0"/>
                              <w:marRight w:val="0"/>
                              <w:marTop w:val="0"/>
                              <w:marBottom w:val="300"/>
                              <w:divBdr>
                                <w:top w:val="none" w:sz="0" w:space="0" w:color="auto"/>
                                <w:left w:val="none" w:sz="0" w:space="0" w:color="auto"/>
                                <w:bottom w:val="none" w:sz="0" w:space="0" w:color="auto"/>
                                <w:right w:val="none" w:sz="0" w:space="0" w:color="auto"/>
                              </w:divBdr>
                              <w:divsChild>
                                <w:div w:id="862533">
                                  <w:marLeft w:val="0"/>
                                  <w:marRight w:val="0"/>
                                  <w:marTop w:val="0"/>
                                  <w:marBottom w:val="0"/>
                                  <w:divBdr>
                                    <w:top w:val="none" w:sz="0" w:space="0" w:color="auto"/>
                                    <w:left w:val="none" w:sz="0" w:space="0" w:color="auto"/>
                                    <w:bottom w:val="none" w:sz="0" w:space="0" w:color="auto"/>
                                    <w:right w:val="none" w:sz="0" w:space="0" w:color="auto"/>
                                  </w:divBdr>
                                  <w:divsChild>
                                    <w:div w:id="1791967867">
                                      <w:marLeft w:val="0"/>
                                      <w:marRight w:val="0"/>
                                      <w:marTop w:val="0"/>
                                      <w:marBottom w:val="0"/>
                                      <w:divBdr>
                                        <w:top w:val="none" w:sz="0" w:space="0" w:color="auto"/>
                                        <w:left w:val="none" w:sz="0" w:space="0" w:color="auto"/>
                                        <w:bottom w:val="none" w:sz="0" w:space="0" w:color="auto"/>
                                        <w:right w:val="none" w:sz="0" w:space="0" w:color="auto"/>
                                      </w:divBdr>
                                      <w:divsChild>
                                        <w:div w:id="85585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rishstatutebook.ie/eli/2018/si/314/made/en/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gdpr-info.eu/art-22-gdpr/" TargetMode="External"/><Relationship Id="rId4" Type="http://schemas.openxmlformats.org/officeDocument/2006/relationships/settings" Target="settings.xml"/><Relationship Id="rId9" Type="http://schemas.openxmlformats.org/officeDocument/2006/relationships/hyperlink" Target="https://www.hrb.ie/funding/gdpr-guidance-for-researchers/gdpr-and-health-research/consent/consent-declar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C72546-0A89-4E16-A25B-207F77A86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Pages>
  <Words>1901</Words>
  <Characters>10838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NUI Galway</dc:creator>
  <cp:keywords/>
  <dc:description/>
  <cp:lastModifiedBy>Peter Feeney</cp:lastModifiedBy>
  <cp:revision>4</cp:revision>
  <cp:lastPrinted>2019-02-11T15:07:00Z</cp:lastPrinted>
  <dcterms:created xsi:type="dcterms:W3CDTF">2019-11-06T11:39:00Z</dcterms:created>
  <dcterms:modified xsi:type="dcterms:W3CDTF">2019-11-06T11:51:00Z</dcterms:modified>
</cp:coreProperties>
</file>