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AE2BC" w14:textId="77777777" w:rsidR="00CA387E" w:rsidRPr="00BC57ED" w:rsidRDefault="00CA387E" w:rsidP="00CA387E">
      <w:pPr>
        <w:pStyle w:val="Title"/>
        <w:spacing w:line="276" w:lineRule="auto"/>
        <w:rPr>
          <w:rFonts w:ascii="Times New Roman" w:hAnsi="Times New Roman" w:cs="Times New Roman"/>
          <w:sz w:val="24"/>
        </w:rPr>
      </w:pPr>
      <w:r w:rsidRPr="00BC57ED">
        <w:rPr>
          <w:rFonts w:ascii="Times New Roman" w:hAnsi="Times New Roman" w:cs="Times New Roman"/>
          <w:sz w:val="24"/>
        </w:rPr>
        <w:t>The Common European Asylum System, LW5113</w:t>
      </w:r>
    </w:p>
    <w:p w14:paraId="76690875" w14:textId="77777777" w:rsidR="00CA387E" w:rsidRPr="00BC57ED" w:rsidRDefault="00CA387E" w:rsidP="00CA387E">
      <w:pPr>
        <w:pStyle w:val="Title"/>
        <w:spacing w:line="276" w:lineRule="auto"/>
        <w:rPr>
          <w:rFonts w:ascii="Times New Roman" w:hAnsi="Times New Roman" w:cs="Times New Roman"/>
          <w:sz w:val="24"/>
        </w:rPr>
      </w:pPr>
    </w:p>
    <w:p w14:paraId="36765941" w14:textId="77777777" w:rsidR="00CA387E" w:rsidRPr="00BC57ED" w:rsidRDefault="00CA387E" w:rsidP="00CA387E">
      <w:pPr>
        <w:spacing w:after="0"/>
        <w:jc w:val="center"/>
        <w:outlineLvl w:val="0"/>
        <w:rPr>
          <w:rFonts w:ascii="Times New Roman" w:hAnsi="Times New Roman" w:cs="Times New Roman"/>
          <w:b/>
          <w:sz w:val="24"/>
          <w:szCs w:val="24"/>
        </w:rPr>
      </w:pPr>
      <w:r w:rsidRPr="00BC57ED">
        <w:rPr>
          <w:rFonts w:ascii="Times New Roman" w:hAnsi="Times New Roman" w:cs="Times New Roman"/>
          <w:b/>
          <w:bCs/>
          <w:sz w:val="24"/>
          <w:szCs w:val="24"/>
        </w:rPr>
        <w:t>COURSE OUTLINE 2022-23</w:t>
      </w:r>
    </w:p>
    <w:p w14:paraId="754AEA0D" w14:textId="77777777" w:rsidR="00CA387E" w:rsidRPr="00BC57ED" w:rsidRDefault="00CA387E" w:rsidP="00CA387E">
      <w:pPr>
        <w:pStyle w:val="NormalWeb"/>
        <w:spacing w:before="0" w:beforeAutospacing="0" w:after="0" w:afterAutospacing="0" w:line="276" w:lineRule="auto"/>
      </w:pPr>
    </w:p>
    <w:tbl>
      <w:tblPr>
        <w:tblW w:w="545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2"/>
        <w:gridCol w:w="7885"/>
      </w:tblGrid>
      <w:tr w:rsidR="00CA387E" w:rsidRPr="00BC57ED" w14:paraId="1376331F" w14:textId="77777777" w:rsidTr="001A70C6">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5601F3F3"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Objective</w:t>
            </w:r>
          </w:p>
        </w:tc>
        <w:tc>
          <w:tcPr>
            <w:tcW w:w="4012" w:type="pct"/>
            <w:tcBorders>
              <w:top w:val="single" w:sz="4" w:space="0" w:color="auto"/>
              <w:left w:val="single" w:sz="4" w:space="0" w:color="auto"/>
              <w:bottom w:val="single" w:sz="4" w:space="0" w:color="auto"/>
              <w:right w:val="single" w:sz="4" w:space="0" w:color="auto"/>
            </w:tcBorders>
            <w:vAlign w:val="center"/>
          </w:tcPr>
          <w:p w14:paraId="23F89B9A" w14:textId="77777777" w:rsidR="00CA387E" w:rsidRPr="00BC57ED" w:rsidRDefault="00CA387E" w:rsidP="001A70C6">
            <w:pPr>
              <w:spacing w:after="0"/>
              <w:rPr>
                <w:rFonts w:ascii="Times New Roman" w:hAnsi="Times New Roman" w:cs="Times New Roman"/>
                <w:sz w:val="24"/>
                <w:szCs w:val="24"/>
              </w:rPr>
            </w:pPr>
            <w:r w:rsidRPr="00BC57ED">
              <w:rPr>
                <w:rFonts w:ascii="Times New Roman" w:hAnsi="Times New Roman" w:cs="Times New Roman"/>
                <w:sz w:val="24"/>
                <w:szCs w:val="24"/>
              </w:rPr>
              <w:t>To explore, critically analyse and monitor the EU Common European Asylum System (CEAS)</w:t>
            </w:r>
          </w:p>
        </w:tc>
      </w:tr>
      <w:tr w:rsidR="00CA387E" w:rsidRPr="00BC57ED" w14:paraId="148C204F" w14:textId="77777777" w:rsidTr="001A70C6">
        <w:trPr>
          <w:trHeight w:val="937"/>
        </w:trPr>
        <w:tc>
          <w:tcPr>
            <w:tcW w:w="988" w:type="pct"/>
            <w:tcBorders>
              <w:top w:val="single" w:sz="4" w:space="0" w:color="auto"/>
              <w:left w:val="single" w:sz="4" w:space="0" w:color="auto"/>
              <w:right w:val="single" w:sz="4" w:space="0" w:color="auto"/>
            </w:tcBorders>
            <w:shd w:val="clear" w:color="auto" w:fill="D9D9D9"/>
            <w:vAlign w:val="center"/>
          </w:tcPr>
          <w:p w14:paraId="3893ED60"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Lecturer</w:t>
            </w:r>
          </w:p>
        </w:tc>
        <w:tc>
          <w:tcPr>
            <w:tcW w:w="4012" w:type="pct"/>
            <w:tcBorders>
              <w:top w:val="single" w:sz="4" w:space="0" w:color="auto"/>
              <w:left w:val="single" w:sz="4" w:space="0" w:color="auto"/>
              <w:right w:val="single" w:sz="4" w:space="0" w:color="auto"/>
            </w:tcBorders>
            <w:shd w:val="clear" w:color="auto" w:fill="FFFFFF" w:themeFill="background1"/>
          </w:tcPr>
          <w:p w14:paraId="1E064FCC"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Dr Ciara Smyth</w:t>
            </w:r>
          </w:p>
          <w:p w14:paraId="7330095E"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ciara.m.smyth@universityofgalway.ie</w:t>
            </w:r>
          </w:p>
          <w:p w14:paraId="14E44733"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Email for an appointment</w:t>
            </w:r>
          </w:p>
        </w:tc>
      </w:tr>
      <w:tr w:rsidR="00CA387E" w:rsidRPr="00BC57ED" w14:paraId="52D4003B" w14:textId="77777777" w:rsidTr="001A70C6">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5EC033B0"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Times</w:t>
            </w:r>
          </w:p>
        </w:tc>
        <w:tc>
          <w:tcPr>
            <w:tcW w:w="4012" w:type="pct"/>
            <w:tcBorders>
              <w:top w:val="single" w:sz="4" w:space="0" w:color="auto"/>
              <w:left w:val="single" w:sz="4" w:space="0" w:color="auto"/>
              <w:bottom w:val="single" w:sz="4" w:space="0" w:color="auto"/>
              <w:right w:val="single" w:sz="4" w:space="0" w:color="auto"/>
            </w:tcBorders>
          </w:tcPr>
          <w:p w14:paraId="0E8BE199" w14:textId="77777777" w:rsidR="00CA387E" w:rsidRPr="00BC57ED" w:rsidRDefault="00CA387E" w:rsidP="001A70C6">
            <w:pPr>
              <w:tabs>
                <w:tab w:val="right" w:pos="-720"/>
                <w:tab w:val="left" w:pos="0"/>
                <w:tab w:val="num" w:pos="1080"/>
                <w:tab w:val="left" w:pos="3616"/>
              </w:tabs>
              <w:spacing w:after="0"/>
              <w:ind w:right="85"/>
              <w:rPr>
                <w:rFonts w:ascii="Times New Roman" w:hAnsi="Times New Roman" w:cs="Times New Roman"/>
                <w:sz w:val="24"/>
                <w:szCs w:val="24"/>
              </w:rPr>
            </w:pPr>
            <w:r w:rsidRPr="00BC57ED">
              <w:rPr>
                <w:rFonts w:ascii="Times New Roman" w:hAnsi="Times New Roman" w:cs="Times New Roman"/>
                <w:sz w:val="24"/>
                <w:szCs w:val="24"/>
              </w:rPr>
              <w:t>Weeks 9-12, Semester 2, 20</w:t>
            </w:r>
            <w:r>
              <w:rPr>
                <w:rFonts w:ascii="Times New Roman" w:hAnsi="Times New Roman" w:cs="Times New Roman"/>
                <w:sz w:val="24"/>
                <w:szCs w:val="24"/>
              </w:rPr>
              <w:t>24-25</w:t>
            </w:r>
          </w:p>
          <w:p w14:paraId="275A6B52" w14:textId="77777777" w:rsidR="00CA387E" w:rsidRPr="00BC57ED" w:rsidRDefault="00CA387E" w:rsidP="001A70C6">
            <w:pPr>
              <w:tabs>
                <w:tab w:val="right" w:pos="-720"/>
                <w:tab w:val="left" w:pos="0"/>
                <w:tab w:val="num" w:pos="1080"/>
                <w:tab w:val="left" w:pos="3616"/>
              </w:tabs>
              <w:spacing w:after="0"/>
              <w:ind w:right="85"/>
              <w:rPr>
                <w:rFonts w:ascii="Times New Roman" w:hAnsi="Times New Roman" w:cs="Times New Roman"/>
                <w:sz w:val="24"/>
                <w:szCs w:val="24"/>
              </w:rPr>
            </w:pPr>
            <w:r w:rsidRPr="00BC57ED">
              <w:rPr>
                <w:rFonts w:ascii="Times New Roman" w:hAnsi="Times New Roman" w:cs="Times New Roman"/>
                <w:sz w:val="24"/>
                <w:szCs w:val="24"/>
              </w:rPr>
              <w:t>3 hour weekly seminar, Thursdays, 10am-1pm, Seminar Room, ICHR</w:t>
            </w:r>
          </w:p>
        </w:tc>
      </w:tr>
      <w:tr w:rsidR="00CA387E" w:rsidRPr="00BC57ED" w14:paraId="7AFD467A" w14:textId="77777777" w:rsidTr="001A70C6">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2A19B04D"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Learning Outcomes</w:t>
            </w:r>
          </w:p>
        </w:tc>
        <w:tc>
          <w:tcPr>
            <w:tcW w:w="4012" w:type="pct"/>
            <w:tcBorders>
              <w:top w:val="single" w:sz="4" w:space="0" w:color="auto"/>
              <w:left w:val="single" w:sz="4" w:space="0" w:color="auto"/>
              <w:bottom w:val="single" w:sz="4" w:space="0" w:color="auto"/>
              <w:right w:val="single" w:sz="4" w:space="0" w:color="auto"/>
            </w:tcBorders>
          </w:tcPr>
          <w:p w14:paraId="368D3DC9" w14:textId="77777777" w:rsidR="00CA387E" w:rsidRPr="00BC57ED" w:rsidRDefault="00CA387E" w:rsidP="001A70C6">
            <w:pPr>
              <w:tabs>
                <w:tab w:val="right" w:pos="-720"/>
                <w:tab w:val="left" w:pos="0"/>
                <w:tab w:val="num" w:pos="1080"/>
                <w:tab w:val="left" w:pos="3616"/>
              </w:tabs>
              <w:spacing w:after="0"/>
              <w:ind w:right="85"/>
              <w:rPr>
                <w:rFonts w:ascii="Times New Roman" w:hAnsi="Times New Roman" w:cs="Times New Roman"/>
                <w:sz w:val="24"/>
                <w:szCs w:val="24"/>
              </w:rPr>
            </w:pPr>
            <w:r w:rsidRPr="00BC57ED">
              <w:rPr>
                <w:rFonts w:ascii="Times New Roman" w:hAnsi="Times New Roman" w:cs="Times New Roman"/>
                <w:sz w:val="24"/>
                <w:szCs w:val="24"/>
              </w:rPr>
              <w:t>At the end of this course you should be able to:</w:t>
            </w:r>
          </w:p>
          <w:p w14:paraId="63880A41" w14:textId="77777777" w:rsidR="00CA387E" w:rsidRPr="00BC57ED" w:rsidRDefault="00CA387E" w:rsidP="001A70C6">
            <w:pPr>
              <w:pStyle w:val="ListParagraph"/>
              <w:numPr>
                <w:ilvl w:val="0"/>
                <w:numId w:val="1"/>
              </w:numPr>
              <w:spacing w:after="0"/>
              <w:rPr>
                <w:rFonts w:ascii="Times New Roman" w:hAnsi="Times New Roman" w:cs="Times New Roman"/>
                <w:sz w:val="24"/>
                <w:szCs w:val="24"/>
              </w:rPr>
            </w:pPr>
            <w:r w:rsidRPr="00BC57ED">
              <w:rPr>
                <w:rFonts w:ascii="Times New Roman" w:hAnsi="Times New Roman" w:cs="Times New Roman"/>
                <w:sz w:val="24"/>
                <w:szCs w:val="24"/>
              </w:rPr>
              <w:t>Articulate the scope of the key instruments of the CEAS</w:t>
            </w:r>
          </w:p>
          <w:p w14:paraId="74FE4F54" w14:textId="77777777" w:rsidR="00CA387E" w:rsidRPr="00BC57ED" w:rsidRDefault="00CA387E" w:rsidP="001A70C6">
            <w:pPr>
              <w:pStyle w:val="ListParagraph"/>
              <w:numPr>
                <w:ilvl w:val="0"/>
                <w:numId w:val="1"/>
              </w:numPr>
              <w:spacing w:after="0"/>
              <w:rPr>
                <w:rFonts w:ascii="Times New Roman" w:hAnsi="Times New Roman" w:cs="Times New Roman"/>
                <w:sz w:val="24"/>
                <w:szCs w:val="24"/>
              </w:rPr>
            </w:pPr>
            <w:r w:rsidRPr="00BC57ED">
              <w:rPr>
                <w:rFonts w:ascii="Times New Roman" w:hAnsi="Times New Roman" w:cs="Times New Roman"/>
                <w:sz w:val="24"/>
                <w:szCs w:val="24"/>
              </w:rPr>
              <w:t>Demonstrate an awareness of how select instruments have been interpreted by the Court of Justice of the EU</w:t>
            </w:r>
          </w:p>
          <w:p w14:paraId="5B36430C" w14:textId="77777777" w:rsidR="00CA387E" w:rsidRPr="00BC57ED" w:rsidRDefault="00CA387E" w:rsidP="001A70C6">
            <w:pPr>
              <w:pStyle w:val="ListParagraph"/>
              <w:numPr>
                <w:ilvl w:val="0"/>
                <w:numId w:val="1"/>
              </w:numPr>
              <w:spacing w:after="0"/>
              <w:rPr>
                <w:rFonts w:ascii="Times New Roman" w:hAnsi="Times New Roman" w:cs="Times New Roman"/>
                <w:sz w:val="24"/>
                <w:szCs w:val="24"/>
              </w:rPr>
            </w:pPr>
            <w:r w:rsidRPr="00BC57ED">
              <w:rPr>
                <w:rFonts w:ascii="Times New Roman" w:hAnsi="Times New Roman" w:cs="Times New Roman"/>
                <w:sz w:val="24"/>
                <w:szCs w:val="24"/>
              </w:rPr>
              <w:t xml:space="preserve">Discuss how the CEAS instruments are poised to change with the immanent adoption of new instruments </w:t>
            </w:r>
          </w:p>
          <w:p w14:paraId="4BB7152D" w14:textId="77777777" w:rsidR="00CA387E" w:rsidRPr="00BC57ED" w:rsidRDefault="00CA387E" w:rsidP="001A70C6">
            <w:pPr>
              <w:pStyle w:val="ListParagraph"/>
              <w:numPr>
                <w:ilvl w:val="0"/>
                <w:numId w:val="1"/>
              </w:numPr>
              <w:spacing w:after="0"/>
              <w:rPr>
                <w:rFonts w:ascii="Times New Roman" w:hAnsi="Times New Roman" w:cs="Times New Roman"/>
                <w:sz w:val="24"/>
                <w:szCs w:val="24"/>
              </w:rPr>
            </w:pPr>
            <w:r w:rsidRPr="00BC57ED">
              <w:rPr>
                <w:rFonts w:ascii="Times New Roman" w:hAnsi="Times New Roman" w:cs="Times New Roman"/>
                <w:sz w:val="24"/>
                <w:szCs w:val="24"/>
              </w:rPr>
              <w:t>Critically analyse the new instruments from a protection point of view</w:t>
            </w:r>
          </w:p>
          <w:p w14:paraId="49B435D1" w14:textId="77777777" w:rsidR="00CA387E" w:rsidRPr="00BC57ED" w:rsidRDefault="00CA387E" w:rsidP="001A70C6">
            <w:pPr>
              <w:pStyle w:val="ListParagraph"/>
              <w:numPr>
                <w:ilvl w:val="0"/>
                <w:numId w:val="1"/>
              </w:numPr>
              <w:spacing w:after="0"/>
              <w:rPr>
                <w:rFonts w:ascii="Times New Roman" w:hAnsi="Times New Roman" w:cs="Times New Roman"/>
                <w:sz w:val="24"/>
                <w:szCs w:val="24"/>
              </w:rPr>
            </w:pPr>
            <w:r w:rsidRPr="00BC57ED">
              <w:rPr>
                <w:rFonts w:ascii="Times New Roman" w:hAnsi="Times New Roman" w:cs="Times New Roman"/>
                <w:sz w:val="24"/>
                <w:szCs w:val="24"/>
              </w:rPr>
              <w:t>Have an informed view of the EU’s different responses to the 2015 refugee crisis and the 2022 Ukrainian refugee crisis</w:t>
            </w:r>
          </w:p>
          <w:p w14:paraId="21815DEE" w14:textId="77777777" w:rsidR="00CA387E" w:rsidRPr="00BC57ED" w:rsidRDefault="00CA387E" w:rsidP="001A70C6">
            <w:pPr>
              <w:pStyle w:val="ListParagraph"/>
              <w:numPr>
                <w:ilvl w:val="0"/>
                <w:numId w:val="1"/>
              </w:numPr>
              <w:spacing w:after="0"/>
              <w:rPr>
                <w:rFonts w:ascii="Times New Roman" w:hAnsi="Times New Roman" w:cs="Times New Roman"/>
                <w:sz w:val="24"/>
                <w:szCs w:val="24"/>
              </w:rPr>
            </w:pPr>
            <w:r w:rsidRPr="00BC57ED">
              <w:rPr>
                <w:rFonts w:ascii="Times New Roman" w:hAnsi="Times New Roman" w:cs="Times New Roman"/>
                <w:sz w:val="24"/>
                <w:szCs w:val="24"/>
              </w:rPr>
              <w:t>Place in the CEAS in broader context by showing how it has influenced international refugee protection</w:t>
            </w:r>
          </w:p>
        </w:tc>
      </w:tr>
      <w:tr w:rsidR="00CA387E" w:rsidRPr="00BC57ED" w14:paraId="0E7440E0" w14:textId="77777777" w:rsidTr="001A70C6">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6185C069"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Format</w:t>
            </w:r>
          </w:p>
        </w:tc>
        <w:tc>
          <w:tcPr>
            <w:tcW w:w="4012" w:type="pct"/>
            <w:tcBorders>
              <w:top w:val="single" w:sz="4" w:space="0" w:color="auto"/>
              <w:left w:val="single" w:sz="4" w:space="0" w:color="auto"/>
              <w:bottom w:val="single" w:sz="4" w:space="0" w:color="auto"/>
              <w:right w:val="single" w:sz="4" w:space="0" w:color="auto"/>
            </w:tcBorders>
            <w:vAlign w:val="center"/>
          </w:tcPr>
          <w:p w14:paraId="6333735B"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 xml:space="preserve">The course will be taught by way of four weekly seminars, conducted over three hours. The weekly readings comprise a mix of primary materials, policy documents and scholarly/civil society commentary. You are expected to do the readings in advance and are encouraged to express your understanding/views and engage in active discussion. Guest speakers may contribute to some of the seminars. </w:t>
            </w:r>
          </w:p>
          <w:p w14:paraId="47DD4386"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 xml:space="preserve">Teaching and learning materials for the course are available on the Canvas learning management system: </w:t>
            </w:r>
            <w:hyperlink r:id="rId5" w:history="1">
              <w:r w:rsidRPr="00BC57ED">
                <w:rPr>
                  <w:rStyle w:val="Hyperlink"/>
                  <w:rFonts w:ascii="Times New Roman" w:hAnsi="Times New Roman" w:cs="Times New Roman"/>
                  <w:sz w:val="24"/>
                  <w:szCs w:val="24"/>
                </w:rPr>
                <w:t>https://universityofgalway.instructure.com/</w:t>
              </w:r>
            </w:hyperlink>
            <w:r w:rsidRPr="00BC57ED">
              <w:rPr>
                <w:rFonts w:ascii="Times New Roman" w:eastAsia="Times New Roman" w:hAnsi="Times New Roman" w:cs="Times New Roman"/>
                <w:sz w:val="24"/>
                <w:szCs w:val="24"/>
                <w:lang w:eastAsia="en-US"/>
              </w:rPr>
              <w:t xml:space="preserve"> </w:t>
            </w:r>
            <w:r w:rsidRPr="00BC57ED">
              <w:rPr>
                <w:rFonts w:ascii="Times New Roman" w:hAnsi="Times New Roman" w:cs="Times New Roman"/>
                <w:sz w:val="24"/>
                <w:szCs w:val="24"/>
              </w:rPr>
              <w:t>You will find the Common European Asylum System (LW5113) in ‘Courses’. You will find this Course Outline in ‘Syllabus’. You will find any teaching and learning materials in ‘Modules’ (the terminology is a bit confusing: a module in Canvas corresponds to a topic within a course, not the course itself!).</w:t>
            </w:r>
          </w:p>
        </w:tc>
      </w:tr>
      <w:tr w:rsidR="00CA387E" w:rsidRPr="00BC57ED" w14:paraId="05656A68" w14:textId="77777777" w:rsidTr="001A70C6">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1CE99902"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Programme(s)</w:t>
            </w:r>
          </w:p>
        </w:tc>
        <w:tc>
          <w:tcPr>
            <w:tcW w:w="4012" w:type="pct"/>
            <w:tcBorders>
              <w:top w:val="single" w:sz="4" w:space="0" w:color="auto"/>
              <w:left w:val="single" w:sz="4" w:space="0" w:color="auto"/>
              <w:bottom w:val="single" w:sz="4" w:space="0" w:color="auto"/>
              <w:right w:val="single" w:sz="4" w:space="0" w:color="auto"/>
            </w:tcBorders>
            <w:vAlign w:val="center"/>
          </w:tcPr>
          <w:p w14:paraId="489FAE14"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LL.M in International Migration and Refugee Law and Policy</w:t>
            </w:r>
          </w:p>
          <w:p w14:paraId="30E612A1"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LL.Ms in the Irish Centre for Human Rights and School of Law</w:t>
            </w:r>
          </w:p>
        </w:tc>
      </w:tr>
      <w:tr w:rsidR="00CA387E" w:rsidRPr="00BC57ED" w14:paraId="7F900D9A" w14:textId="77777777" w:rsidTr="001A70C6">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1EAFC8F0"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Course Material</w:t>
            </w:r>
          </w:p>
        </w:tc>
        <w:tc>
          <w:tcPr>
            <w:tcW w:w="4012" w:type="pct"/>
            <w:tcBorders>
              <w:top w:val="single" w:sz="4" w:space="0" w:color="auto"/>
              <w:left w:val="single" w:sz="4" w:space="0" w:color="auto"/>
              <w:bottom w:val="single" w:sz="4" w:space="0" w:color="auto"/>
              <w:right w:val="single" w:sz="4" w:space="0" w:color="auto"/>
            </w:tcBorders>
            <w:vAlign w:val="center"/>
          </w:tcPr>
          <w:p w14:paraId="58BC58A8" w14:textId="77777777" w:rsidR="00CA387E" w:rsidRPr="00BC57ED" w:rsidRDefault="00CA387E" w:rsidP="001A70C6">
            <w:pPr>
              <w:tabs>
                <w:tab w:val="left" w:pos="-720"/>
              </w:tabs>
              <w:spacing w:after="0"/>
              <w:ind w:right="85"/>
              <w:rPr>
                <w:rFonts w:ascii="Times New Roman" w:hAnsi="Times New Roman" w:cs="Times New Roman"/>
                <w:sz w:val="24"/>
                <w:szCs w:val="24"/>
              </w:rPr>
            </w:pPr>
            <w:r w:rsidRPr="00BC57ED">
              <w:rPr>
                <w:rFonts w:ascii="Times New Roman" w:hAnsi="Times New Roman" w:cs="Times New Roman"/>
                <w:sz w:val="24"/>
                <w:szCs w:val="24"/>
              </w:rPr>
              <w:t>See weekly readings (below)</w:t>
            </w:r>
          </w:p>
          <w:p w14:paraId="4CA20B15" w14:textId="77777777" w:rsidR="00CA387E" w:rsidRPr="00BC57ED" w:rsidRDefault="00CA387E" w:rsidP="001A70C6">
            <w:pPr>
              <w:tabs>
                <w:tab w:val="left" w:pos="-720"/>
              </w:tabs>
              <w:spacing w:after="0"/>
              <w:ind w:right="85"/>
              <w:jc w:val="both"/>
              <w:rPr>
                <w:rFonts w:ascii="Times New Roman" w:hAnsi="Times New Roman" w:cs="Times New Roman"/>
                <w:sz w:val="24"/>
                <w:szCs w:val="24"/>
              </w:rPr>
            </w:pPr>
          </w:p>
        </w:tc>
      </w:tr>
      <w:tr w:rsidR="00CA387E" w:rsidRPr="00BC57ED" w14:paraId="3A2F4734" w14:textId="77777777" w:rsidTr="001A70C6">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5466B924"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Core Text</w:t>
            </w:r>
          </w:p>
        </w:tc>
        <w:tc>
          <w:tcPr>
            <w:tcW w:w="4012" w:type="pct"/>
            <w:tcBorders>
              <w:top w:val="single" w:sz="4" w:space="0" w:color="auto"/>
              <w:left w:val="single" w:sz="4" w:space="0" w:color="auto"/>
              <w:bottom w:val="single" w:sz="4" w:space="0" w:color="auto"/>
              <w:right w:val="single" w:sz="4" w:space="0" w:color="auto"/>
            </w:tcBorders>
          </w:tcPr>
          <w:p w14:paraId="03D97F03" w14:textId="77777777" w:rsidR="00CA387E" w:rsidRPr="00BC57ED" w:rsidRDefault="00CA387E" w:rsidP="001A70C6">
            <w:pPr>
              <w:pStyle w:val="ListParagraph"/>
              <w:numPr>
                <w:ilvl w:val="0"/>
                <w:numId w:val="2"/>
              </w:numPr>
              <w:spacing w:after="0"/>
              <w:rPr>
                <w:rFonts w:ascii="Times New Roman" w:eastAsia="Times New Roman" w:hAnsi="Times New Roman" w:cs="Times New Roman"/>
                <w:sz w:val="24"/>
                <w:szCs w:val="24"/>
                <w:lang w:eastAsia="en-IE"/>
              </w:rPr>
            </w:pPr>
            <w:r w:rsidRPr="00BC57ED">
              <w:rPr>
                <w:rFonts w:ascii="Times New Roman" w:eastAsia="Times New Roman" w:hAnsi="Times New Roman" w:cs="Times New Roman"/>
                <w:sz w:val="24"/>
                <w:szCs w:val="24"/>
                <w:lang w:eastAsia="en-IE"/>
              </w:rPr>
              <w:t xml:space="preserve">Cathryn Costello, </w:t>
            </w:r>
            <w:r w:rsidRPr="00BC57ED">
              <w:rPr>
                <w:rFonts w:ascii="Times New Roman" w:eastAsia="Times New Roman" w:hAnsi="Times New Roman" w:cs="Times New Roman"/>
                <w:i/>
                <w:sz w:val="24"/>
                <w:szCs w:val="24"/>
                <w:lang w:eastAsia="en-IE"/>
              </w:rPr>
              <w:t>The Human Rights of Migrants and Refugees in European Law</w:t>
            </w:r>
            <w:r w:rsidRPr="00BC57ED">
              <w:rPr>
                <w:rFonts w:ascii="Times New Roman" w:eastAsia="Times New Roman" w:hAnsi="Times New Roman" w:cs="Times New Roman"/>
                <w:sz w:val="24"/>
                <w:szCs w:val="24"/>
                <w:lang w:eastAsia="en-IE"/>
              </w:rPr>
              <w:t>, Oxford University Press, 2017, 9780199644742</w:t>
            </w:r>
          </w:p>
          <w:p w14:paraId="49EA3CE7" w14:textId="77777777" w:rsidR="00CA387E" w:rsidRPr="00BC57ED" w:rsidRDefault="00CA387E" w:rsidP="001A70C6">
            <w:pPr>
              <w:pStyle w:val="ListParagraph"/>
              <w:numPr>
                <w:ilvl w:val="0"/>
                <w:numId w:val="2"/>
              </w:numPr>
              <w:spacing w:after="0"/>
              <w:rPr>
                <w:rFonts w:ascii="Times New Roman" w:hAnsi="Times New Roman" w:cs="Times New Roman"/>
                <w:sz w:val="24"/>
                <w:szCs w:val="24"/>
              </w:rPr>
            </w:pPr>
            <w:r w:rsidRPr="00BC57ED">
              <w:rPr>
                <w:rFonts w:ascii="Times New Roman" w:eastAsia="Times New Roman" w:hAnsi="Times New Roman" w:cs="Times New Roman"/>
                <w:sz w:val="24"/>
                <w:szCs w:val="24"/>
                <w:lang w:eastAsia="en-IE"/>
              </w:rPr>
              <w:lastRenderedPageBreak/>
              <w:t xml:space="preserve">Vincent Chetail, Philippe De Bruycher and Francesco Maiani (eds) </w:t>
            </w:r>
            <w:r w:rsidRPr="00BC57ED">
              <w:rPr>
                <w:rFonts w:ascii="Times New Roman" w:eastAsia="Times New Roman" w:hAnsi="Times New Roman" w:cs="Times New Roman"/>
                <w:i/>
                <w:sz w:val="24"/>
                <w:szCs w:val="24"/>
                <w:lang w:eastAsia="en-IE"/>
              </w:rPr>
              <w:t>Reforming the Common European Asylum System: the New European Refugee Law</w:t>
            </w:r>
            <w:r w:rsidRPr="00BC57ED">
              <w:rPr>
                <w:rFonts w:ascii="Times New Roman" w:eastAsia="Times New Roman" w:hAnsi="Times New Roman" w:cs="Times New Roman"/>
                <w:sz w:val="24"/>
                <w:szCs w:val="24"/>
                <w:lang w:eastAsia="en-IE"/>
              </w:rPr>
              <w:t>, Brill Nijhoff: Leiden and Boston, 2016, 9789040308657</w:t>
            </w:r>
          </w:p>
        </w:tc>
      </w:tr>
      <w:tr w:rsidR="00CA387E" w:rsidRPr="00BC57ED" w14:paraId="6EA587B7" w14:textId="77777777" w:rsidTr="001A70C6">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42CB7533"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lastRenderedPageBreak/>
              <w:t>Supplementary Texts</w:t>
            </w:r>
          </w:p>
        </w:tc>
        <w:tc>
          <w:tcPr>
            <w:tcW w:w="4012" w:type="pct"/>
            <w:tcBorders>
              <w:top w:val="single" w:sz="4" w:space="0" w:color="auto"/>
              <w:left w:val="single" w:sz="4" w:space="0" w:color="auto"/>
              <w:bottom w:val="single" w:sz="4" w:space="0" w:color="auto"/>
              <w:right w:val="single" w:sz="4" w:space="0" w:color="auto"/>
            </w:tcBorders>
            <w:vAlign w:val="center"/>
          </w:tcPr>
          <w:p w14:paraId="125C012B" w14:textId="77777777" w:rsidR="00CA387E" w:rsidRPr="00BC57ED" w:rsidRDefault="00CA387E" w:rsidP="001A70C6">
            <w:pPr>
              <w:tabs>
                <w:tab w:val="left" w:pos="-720"/>
              </w:tabs>
              <w:spacing w:after="0"/>
              <w:ind w:right="84"/>
              <w:rPr>
                <w:rFonts w:ascii="Times New Roman" w:hAnsi="Times New Roman" w:cs="Times New Roman"/>
                <w:iCs/>
                <w:sz w:val="24"/>
                <w:szCs w:val="24"/>
              </w:rPr>
            </w:pPr>
            <w:r w:rsidRPr="00BC57ED">
              <w:rPr>
                <w:rFonts w:ascii="Times New Roman" w:hAnsi="Times New Roman" w:cs="Times New Roman"/>
                <w:iCs/>
                <w:sz w:val="24"/>
                <w:szCs w:val="24"/>
              </w:rPr>
              <w:t>Weekly readings (see below)</w:t>
            </w:r>
          </w:p>
        </w:tc>
      </w:tr>
      <w:tr w:rsidR="00CA387E" w:rsidRPr="00BC57ED" w14:paraId="2B05AD2B" w14:textId="77777777" w:rsidTr="001A70C6">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5F54610E"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Assessment</w:t>
            </w:r>
          </w:p>
        </w:tc>
        <w:tc>
          <w:tcPr>
            <w:tcW w:w="4012" w:type="pct"/>
            <w:tcBorders>
              <w:top w:val="single" w:sz="4" w:space="0" w:color="auto"/>
              <w:left w:val="single" w:sz="4" w:space="0" w:color="auto"/>
              <w:bottom w:val="single" w:sz="4" w:space="0" w:color="auto"/>
              <w:right w:val="single" w:sz="4" w:space="0" w:color="auto"/>
            </w:tcBorders>
          </w:tcPr>
          <w:p w14:paraId="431C2D61" w14:textId="77777777" w:rsidR="00CA387E" w:rsidRPr="00BC57ED" w:rsidRDefault="00CA387E" w:rsidP="001A70C6">
            <w:pPr>
              <w:tabs>
                <w:tab w:val="left" w:pos="-720"/>
                <w:tab w:val="left" w:pos="0"/>
                <w:tab w:val="num" w:pos="1080"/>
              </w:tabs>
              <w:spacing w:after="0"/>
              <w:ind w:right="85"/>
              <w:jc w:val="both"/>
              <w:rPr>
                <w:rFonts w:ascii="Times New Roman" w:hAnsi="Times New Roman" w:cs="Times New Roman"/>
                <w:sz w:val="24"/>
                <w:szCs w:val="24"/>
              </w:rPr>
            </w:pPr>
            <w:r w:rsidRPr="00BC57ED">
              <w:rPr>
                <w:rFonts w:ascii="Times New Roman" w:hAnsi="Times New Roman" w:cs="Times New Roman"/>
                <w:sz w:val="24"/>
                <w:szCs w:val="24"/>
              </w:rPr>
              <w:t>2,500-word essay (ex footnotes)</w:t>
            </w:r>
          </w:p>
        </w:tc>
      </w:tr>
      <w:tr w:rsidR="00CA387E" w:rsidRPr="00BC57ED" w14:paraId="0C632FA5" w14:textId="77777777" w:rsidTr="001A70C6">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13D116AD"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ECTS</w:t>
            </w:r>
          </w:p>
        </w:tc>
        <w:tc>
          <w:tcPr>
            <w:tcW w:w="4012" w:type="pct"/>
            <w:tcBorders>
              <w:top w:val="single" w:sz="4" w:space="0" w:color="auto"/>
              <w:left w:val="single" w:sz="4" w:space="0" w:color="auto"/>
              <w:bottom w:val="single" w:sz="4" w:space="0" w:color="auto"/>
              <w:right w:val="single" w:sz="4" w:space="0" w:color="auto"/>
            </w:tcBorders>
          </w:tcPr>
          <w:p w14:paraId="575FAC55" w14:textId="77777777" w:rsidR="00CA387E" w:rsidRPr="00BC57ED" w:rsidRDefault="00CA387E" w:rsidP="001A70C6">
            <w:pPr>
              <w:tabs>
                <w:tab w:val="left" w:pos="-720"/>
                <w:tab w:val="left" w:pos="0"/>
                <w:tab w:val="num" w:pos="1080"/>
              </w:tabs>
              <w:spacing w:after="0"/>
              <w:ind w:right="85"/>
              <w:jc w:val="both"/>
              <w:rPr>
                <w:rFonts w:ascii="Times New Roman" w:hAnsi="Times New Roman" w:cs="Times New Roman"/>
                <w:sz w:val="24"/>
                <w:szCs w:val="24"/>
              </w:rPr>
            </w:pPr>
            <w:r w:rsidRPr="00BC57ED">
              <w:rPr>
                <w:rFonts w:ascii="Times New Roman" w:hAnsi="Times New Roman" w:cs="Times New Roman"/>
                <w:sz w:val="24"/>
                <w:szCs w:val="24"/>
              </w:rPr>
              <w:t>5</w:t>
            </w:r>
          </w:p>
        </w:tc>
      </w:tr>
      <w:tr w:rsidR="00CA387E" w:rsidRPr="00BC57ED" w14:paraId="01754777" w14:textId="77777777" w:rsidTr="001A70C6">
        <w:tc>
          <w:tcPr>
            <w:tcW w:w="988" w:type="pct"/>
            <w:tcBorders>
              <w:top w:val="single" w:sz="4" w:space="0" w:color="auto"/>
              <w:left w:val="single" w:sz="4" w:space="0" w:color="auto"/>
              <w:bottom w:val="single" w:sz="4" w:space="0" w:color="auto"/>
              <w:right w:val="single" w:sz="4" w:space="0" w:color="auto"/>
            </w:tcBorders>
            <w:shd w:val="clear" w:color="auto" w:fill="D9D9D9"/>
            <w:vAlign w:val="center"/>
          </w:tcPr>
          <w:p w14:paraId="54277C98" w14:textId="77777777" w:rsidR="00CA387E" w:rsidRPr="00BC57ED" w:rsidRDefault="00CA387E" w:rsidP="001A70C6">
            <w:pPr>
              <w:tabs>
                <w:tab w:val="left" w:pos="-720"/>
              </w:tabs>
              <w:spacing w:after="0"/>
              <w:ind w:right="84"/>
              <w:jc w:val="center"/>
              <w:rPr>
                <w:rFonts w:ascii="Times New Roman" w:hAnsi="Times New Roman" w:cs="Times New Roman"/>
                <w:sz w:val="24"/>
                <w:szCs w:val="24"/>
              </w:rPr>
            </w:pPr>
            <w:r w:rsidRPr="00BC57ED">
              <w:rPr>
                <w:rFonts w:ascii="Times New Roman" w:hAnsi="Times New Roman" w:cs="Times New Roman"/>
                <w:sz w:val="24"/>
                <w:szCs w:val="24"/>
              </w:rPr>
              <w:t xml:space="preserve">Workload </w:t>
            </w:r>
          </w:p>
        </w:tc>
        <w:tc>
          <w:tcPr>
            <w:tcW w:w="4012" w:type="pct"/>
            <w:tcBorders>
              <w:top w:val="single" w:sz="4" w:space="0" w:color="auto"/>
              <w:left w:val="single" w:sz="4" w:space="0" w:color="auto"/>
              <w:bottom w:val="single" w:sz="4" w:space="0" w:color="auto"/>
              <w:right w:val="single" w:sz="4" w:space="0" w:color="auto"/>
            </w:tcBorders>
          </w:tcPr>
          <w:p w14:paraId="09E3C124" w14:textId="77777777" w:rsidR="00CA387E" w:rsidRPr="00BC57ED" w:rsidRDefault="00CA387E" w:rsidP="001A70C6">
            <w:pPr>
              <w:tabs>
                <w:tab w:val="left" w:pos="-720"/>
                <w:tab w:val="left" w:pos="0"/>
                <w:tab w:val="num" w:pos="1080"/>
              </w:tabs>
              <w:spacing w:after="0"/>
              <w:ind w:right="85"/>
              <w:jc w:val="both"/>
              <w:rPr>
                <w:rFonts w:ascii="Times New Roman" w:hAnsi="Times New Roman" w:cs="Times New Roman"/>
                <w:sz w:val="24"/>
                <w:szCs w:val="24"/>
              </w:rPr>
            </w:pPr>
            <w:r w:rsidRPr="00BC57ED">
              <w:rPr>
                <w:rFonts w:ascii="Times New Roman" w:hAnsi="Times New Roman" w:cs="Times New Roman"/>
                <w:sz w:val="24"/>
                <w:szCs w:val="24"/>
              </w:rPr>
              <w:t>125 hours of student effort</w:t>
            </w:r>
          </w:p>
        </w:tc>
      </w:tr>
    </w:tbl>
    <w:p w14:paraId="0B435B5A" w14:textId="77777777" w:rsidR="00CA387E" w:rsidRPr="00BC57ED" w:rsidRDefault="00CA387E" w:rsidP="00CA387E">
      <w:pPr>
        <w:spacing w:after="0"/>
        <w:rPr>
          <w:rFonts w:ascii="Times New Roman" w:hAnsi="Times New Roman" w:cs="Times New Roman"/>
          <w:sz w:val="24"/>
          <w:szCs w:val="24"/>
        </w:rPr>
      </w:pPr>
    </w:p>
    <w:p w14:paraId="32144B3D" w14:textId="77777777" w:rsidR="00CA387E" w:rsidRPr="00BC57ED" w:rsidRDefault="00CA387E" w:rsidP="00CA387E">
      <w:pPr>
        <w:spacing w:after="0"/>
        <w:rPr>
          <w:rFonts w:ascii="Times New Roman" w:hAnsi="Times New Roman" w:cs="Times New Roman"/>
          <w:sz w:val="24"/>
          <w:szCs w:val="24"/>
        </w:rPr>
      </w:pPr>
    </w:p>
    <w:p w14:paraId="4F972356" w14:textId="77777777" w:rsidR="00CA387E" w:rsidRPr="00BC57ED" w:rsidRDefault="00CA387E" w:rsidP="00CA387E">
      <w:pPr>
        <w:spacing w:after="0"/>
        <w:rPr>
          <w:rFonts w:ascii="Times New Roman" w:hAnsi="Times New Roman" w:cs="Times New Roman"/>
          <w:sz w:val="24"/>
          <w:szCs w:val="24"/>
        </w:rPr>
      </w:pPr>
      <w:r w:rsidRPr="00BC57ED">
        <w:rPr>
          <w:rFonts w:ascii="Times New Roman" w:hAnsi="Times New Roman" w:cs="Times New Roman"/>
          <w:sz w:val="24"/>
          <w:szCs w:val="24"/>
        </w:rPr>
        <w:t>GENERAL OVERVIEW OF THE COURSE</w:t>
      </w:r>
    </w:p>
    <w:p w14:paraId="743376F7" w14:textId="77777777" w:rsidR="00CA387E" w:rsidRPr="00BC57ED" w:rsidRDefault="00CA387E" w:rsidP="00CA387E">
      <w:pPr>
        <w:spacing w:after="0"/>
        <w:rPr>
          <w:rFonts w:ascii="Times New Roman" w:hAnsi="Times New Roman" w:cs="Times New Roman"/>
          <w:sz w:val="24"/>
          <w:szCs w:val="24"/>
        </w:rPr>
      </w:pPr>
    </w:p>
    <w:p w14:paraId="7567C648" w14:textId="77777777" w:rsidR="00CA387E" w:rsidRPr="00BC57ED" w:rsidRDefault="00CA387E" w:rsidP="00CA387E">
      <w:pPr>
        <w:pStyle w:val="Heading1"/>
        <w:spacing w:before="0"/>
        <w:ind w:right="85"/>
        <w:rPr>
          <w:rFonts w:ascii="Times New Roman" w:hAnsi="Times New Roman" w:cs="Times New Roman"/>
          <w:color w:val="auto"/>
          <w:sz w:val="24"/>
          <w:szCs w:val="24"/>
        </w:rPr>
      </w:pPr>
      <w:r w:rsidRPr="00BC57ED">
        <w:rPr>
          <w:rFonts w:ascii="Times New Roman" w:hAnsi="Times New Roman" w:cs="Times New Roman"/>
          <w:color w:val="auto"/>
          <w:sz w:val="24"/>
          <w:szCs w:val="24"/>
        </w:rPr>
        <w:t xml:space="preserve">This module examines the evolution of the EU Common European Asylum System (CEAS) from the 1990s to the present and beyond, exploring why and how the EU has sought to harmonise the law in this area. Initially, the CEAS comprised five instruments, four of which were recast (amended) in the early 2010s. </w:t>
      </w:r>
      <w:r>
        <w:rPr>
          <w:rFonts w:ascii="Times New Roman" w:hAnsi="Times New Roman" w:cs="Times New Roman"/>
          <w:color w:val="auto"/>
          <w:sz w:val="24"/>
          <w:szCs w:val="24"/>
        </w:rPr>
        <w:t>T</w:t>
      </w:r>
      <w:r w:rsidRPr="00BC57ED">
        <w:rPr>
          <w:rFonts w:ascii="Times New Roman" w:hAnsi="Times New Roman" w:cs="Times New Roman"/>
          <w:color w:val="auto"/>
          <w:sz w:val="24"/>
          <w:szCs w:val="24"/>
        </w:rPr>
        <w:t>hese instruments have bee</w:t>
      </w:r>
      <w:r>
        <w:rPr>
          <w:rFonts w:ascii="Times New Roman" w:hAnsi="Times New Roman" w:cs="Times New Roman"/>
          <w:color w:val="auto"/>
          <w:sz w:val="24"/>
          <w:szCs w:val="24"/>
        </w:rPr>
        <w:t>n radically changed and also supplemented with new instruments</w:t>
      </w:r>
      <w:r w:rsidRPr="00BC57ED">
        <w:rPr>
          <w:rFonts w:ascii="Times New Roman" w:hAnsi="Times New Roman" w:cs="Times New Roman"/>
          <w:color w:val="auto"/>
          <w:sz w:val="24"/>
          <w:szCs w:val="24"/>
        </w:rPr>
        <w:t xml:space="preserve"> in the new EU Pact on Migration and Asylum, which was adopted in 2024 and enters into force in 2026. Accordingly, when investigating the CEAS, we need to have an eye to the current instruments but also to how they are about to change. Each instrument has strengths and weaknesses from a protection point of view – the jewel in the crown probably being the Qualification Directive, and the most problematic being the Dublin Regulation. Both of these are examined in detail in this course, along with the corresponding case-law of the Court of Justice of the EU. One hitherto dormant instrument – the Temporary Protection Directive – was triggered for the first time in 2022 in response to the anticipated mass influx of Ukrainian refugees. Questions have been asked about why this directive was not activated in a previous mass influx situation, namely the 2015 refugee crisis. We will delve into this debate. </w:t>
      </w:r>
    </w:p>
    <w:p w14:paraId="292EAF5E" w14:textId="77777777" w:rsidR="00CA387E" w:rsidRPr="00BC57ED" w:rsidRDefault="00CA387E" w:rsidP="00CA387E">
      <w:pPr>
        <w:pStyle w:val="Heading1"/>
        <w:spacing w:before="0"/>
        <w:ind w:right="85"/>
        <w:rPr>
          <w:rFonts w:ascii="Times New Roman" w:hAnsi="Times New Roman" w:cs="Times New Roman"/>
          <w:color w:val="auto"/>
          <w:sz w:val="24"/>
          <w:szCs w:val="24"/>
        </w:rPr>
      </w:pPr>
    </w:p>
    <w:p w14:paraId="7F0A82AF" w14:textId="77777777" w:rsidR="00CA387E" w:rsidRPr="00BC57ED" w:rsidRDefault="00CA387E" w:rsidP="00CA387E">
      <w:pPr>
        <w:pStyle w:val="Heading1"/>
        <w:spacing w:before="0"/>
        <w:ind w:right="85"/>
        <w:rPr>
          <w:rFonts w:ascii="Times New Roman" w:hAnsi="Times New Roman" w:cs="Times New Roman"/>
          <w:color w:val="auto"/>
          <w:sz w:val="24"/>
          <w:szCs w:val="24"/>
        </w:rPr>
      </w:pPr>
      <w:r w:rsidRPr="00BC57ED">
        <w:rPr>
          <w:rFonts w:ascii="Times New Roman" w:hAnsi="Times New Roman" w:cs="Times New Roman"/>
          <w:color w:val="auto"/>
          <w:sz w:val="24"/>
          <w:szCs w:val="24"/>
        </w:rPr>
        <w:t>Parallel to the CEAS, the EU has developed a number of policy initiatives relating to the ‘external dimension of asylum’, such as the EU Turkey Deal, Regional Development and Protection Programmes and Common Operational Partnerships. Furthermore, there is an interesting literature on the growth and oversight (or lack thereof) of EU agencies such as EASO and Frontex. While we will discuss these issues in passing, time does not permit a detailed examination of the debates. However, students are welcome to do an essay (or dissertation) on any of these issues and guidance will be provided on the relevant literature.</w:t>
      </w:r>
    </w:p>
    <w:p w14:paraId="51447619" w14:textId="77777777" w:rsidR="00CA387E" w:rsidRPr="00BC57ED" w:rsidRDefault="00CA387E" w:rsidP="00CA387E">
      <w:pPr>
        <w:spacing w:after="0"/>
        <w:rPr>
          <w:rFonts w:ascii="Times New Roman" w:hAnsi="Times New Roman" w:cs="Times New Roman"/>
          <w:sz w:val="24"/>
          <w:szCs w:val="24"/>
        </w:rPr>
      </w:pPr>
    </w:p>
    <w:p w14:paraId="4A73871B" w14:textId="77777777" w:rsidR="00CA387E" w:rsidRPr="00BC57ED" w:rsidRDefault="00CA387E" w:rsidP="00CA387E">
      <w:pPr>
        <w:spacing w:after="0"/>
        <w:rPr>
          <w:rFonts w:ascii="Times New Roman" w:hAnsi="Times New Roman" w:cs="Times New Roman"/>
          <w:sz w:val="24"/>
          <w:szCs w:val="24"/>
        </w:rPr>
      </w:pPr>
      <w:r w:rsidRPr="00BC57ED">
        <w:rPr>
          <w:rFonts w:ascii="Times New Roman" w:hAnsi="Times New Roman" w:cs="Times New Roman"/>
          <w:sz w:val="24"/>
          <w:szCs w:val="24"/>
        </w:rPr>
        <w:br w:type="page"/>
      </w:r>
    </w:p>
    <w:p w14:paraId="4D12F179" w14:textId="77777777" w:rsidR="00CA387E" w:rsidRPr="00BC57ED" w:rsidRDefault="00CA387E" w:rsidP="00CA387E">
      <w:pPr>
        <w:spacing w:after="0"/>
        <w:rPr>
          <w:rFonts w:ascii="Times New Roman" w:hAnsi="Times New Roman" w:cs="Times New Roman"/>
          <w:b/>
          <w:sz w:val="24"/>
          <w:szCs w:val="24"/>
        </w:rPr>
      </w:pPr>
      <w:r w:rsidRPr="00BC57ED">
        <w:rPr>
          <w:rFonts w:ascii="Times New Roman" w:hAnsi="Times New Roman" w:cs="Times New Roman"/>
          <w:b/>
          <w:sz w:val="24"/>
          <w:szCs w:val="24"/>
        </w:rPr>
        <w:lastRenderedPageBreak/>
        <w:t>SEMINARS AND READINGS</w:t>
      </w:r>
    </w:p>
    <w:p w14:paraId="6AC6808D" w14:textId="77777777" w:rsidR="00CA387E" w:rsidRPr="00BC57ED" w:rsidRDefault="00CA387E" w:rsidP="00CA387E">
      <w:pPr>
        <w:spacing w:after="0"/>
        <w:rPr>
          <w:rFonts w:ascii="Times New Roman" w:hAnsi="Times New Roman" w:cs="Times New Roman"/>
          <w:b/>
          <w:sz w:val="24"/>
          <w:szCs w:val="24"/>
        </w:rPr>
      </w:pPr>
    </w:p>
    <w:p w14:paraId="5C3E9A01" w14:textId="77777777" w:rsidR="00CA387E" w:rsidRPr="00BC57ED" w:rsidRDefault="00CA387E" w:rsidP="00CA387E">
      <w:pPr>
        <w:spacing w:after="0"/>
        <w:rPr>
          <w:rFonts w:ascii="Times New Roman" w:hAnsi="Times New Roman" w:cs="Times New Roman"/>
          <w:b/>
          <w:sz w:val="24"/>
          <w:szCs w:val="24"/>
        </w:rPr>
      </w:pPr>
      <w:r w:rsidRPr="00BC57ED">
        <w:rPr>
          <w:rFonts w:ascii="Times New Roman" w:hAnsi="Times New Roman" w:cs="Times New Roman"/>
          <w:b/>
          <w:sz w:val="24"/>
          <w:szCs w:val="24"/>
        </w:rPr>
        <w:t>Before we start:</w:t>
      </w:r>
    </w:p>
    <w:p w14:paraId="68A71112" w14:textId="77777777" w:rsidR="00CA387E" w:rsidRPr="00BC57ED" w:rsidRDefault="00CA387E" w:rsidP="00CA387E">
      <w:pPr>
        <w:pStyle w:val="ListParagraph"/>
        <w:numPr>
          <w:ilvl w:val="0"/>
          <w:numId w:val="6"/>
        </w:numPr>
        <w:tabs>
          <w:tab w:val="left" w:pos="3217"/>
        </w:tabs>
        <w:rPr>
          <w:rFonts w:ascii="Times New Roman" w:eastAsia="Times New Roman" w:hAnsi="Times New Roman" w:cs="Times New Roman"/>
          <w:sz w:val="24"/>
          <w:szCs w:val="24"/>
          <w:lang w:eastAsia="en-IE"/>
        </w:rPr>
      </w:pPr>
      <w:r w:rsidRPr="00BC57ED">
        <w:rPr>
          <w:rFonts w:ascii="Times New Roman" w:eastAsia="Times New Roman" w:hAnsi="Times New Roman" w:cs="Times New Roman"/>
          <w:sz w:val="24"/>
          <w:szCs w:val="24"/>
          <w:lang w:eastAsia="en-IE"/>
        </w:rPr>
        <w:t>Explore the following current secondary EU legislation:</w:t>
      </w:r>
    </w:p>
    <w:p w14:paraId="6C46D147" w14:textId="77777777" w:rsidR="00CA387E" w:rsidRPr="00BC57ED" w:rsidRDefault="00CA387E" w:rsidP="00CA387E">
      <w:pPr>
        <w:pStyle w:val="ListParagraph"/>
        <w:numPr>
          <w:ilvl w:val="1"/>
          <w:numId w:val="6"/>
        </w:numPr>
        <w:tabs>
          <w:tab w:val="left" w:pos="3217"/>
        </w:tabs>
        <w:rPr>
          <w:rFonts w:ascii="Times New Roman" w:eastAsia="Times New Roman" w:hAnsi="Times New Roman" w:cs="Times New Roman"/>
          <w:sz w:val="24"/>
          <w:szCs w:val="24"/>
          <w:lang w:eastAsia="en-IE"/>
        </w:rPr>
      </w:pPr>
      <w:r w:rsidRPr="00BC57ED">
        <w:rPr>
          <w:rFonts w:ascii="Times New Roman" w:hAnsi="Times New Roman" w:cs="Times New Roman"/>
          <w:bCs/>
          <w:sz w:val="24"/>
          <w:szCs w:val="24"/>
        </w:rPr>
        <w:t>The Recast Reception Conditions Directive (2013/33/EU)</w:t>
      </w:r>
    </w:p>
    <w:p w14:paraId="73D786A7" w14:textId="77777777" w:rsidR="00CA387E" w:rsidRPr="00BC57ED" w:rsidRDefault="00CA387E" w:rsidP="00CA387E">
      <w:pPr>
        <w:pStyle w:val="ListParagraph"/>
        <w:numPr>
          <w:ilvl w:val="1"/>
          <w:numId w:val="6"/>
        </w:numPr>
        <w:tabs>
          <w:tab w:val="left" w:pos="3217"/>
        </w:tabs>
        <w:rPr>
          <w:rFonts w:ascii="Times New Roman" w:eastAsia="Times New Roman" w:hAnsi="Times New Roman" w:cs="Times New Roman"/>
          <w:sz w:val="24"/>
          <w:szCs w:val="24"/>
          <w:lang w:eastAsia="en-IE"/>
        </w:rPr>
      </w:pPr>
      <w:r w:rsidRPr="00BC57ED">
        <w:rPr>
          <w:rFonts w:ascii="Times New Roman" w:hAnsi="Times New Roman" w:cs="Times New Roman"/>
          <w:bCs/>
          <w:sz w:val="24"/>
          <w:szCs w:val="24"/>
        </w:rPr>
        <w:t>The Dublin III Regulation (604/2013)</w:t>
      </w:r>
    </w:p>
    <w:p w14:paraId="2E55AA3B" w14:textId="77777777" w:rsidR="00CA387E" w:rsidRPr="00BC57ED" w:rsidRDefault="00CA387E" w:rsidP="00CA387E">
      <w:pPr>
        <w:pStyle w:val="ListParagraph"/>
        <w:numPr>
          <w:ilvl w:val="1"/>
          <w:numId w:val="6"/>
        </w:numPr>
        <w:tabs>
          <w:tab w:val="left" w:pos="3217"/>
        </w:tabs>
        <w:rPr>
          <w:rFonts w:ascii="Times New Roman" w:eastAsia="Times New Roman" w:hAnsi="Times New Roman" w:cs="Times New Roman"/>
          <w:sz w:val="24"/>
          <w:szCs w:val="24"/>
          <w:lang w:eastAsia="en-IE"/>
        </w:rPr>
      </w:pPr>
      <w:r w:rsidRPr="00BC57ED">
        <w:rPr>
          <w:rFonts w:ascii="Times New Roman" w:hAnsi="Times New Roman" w:cs="Times New Roman"/>
          <w:bCs/>
          <w:sz w:val="24"/>
          <w:szCs w:val="24"/>
        </w:rPr>
        <w:t>The Recast Qualification Directive (2011/95/EU)</w:t>
      </w:r>
    </w:p>
    <w:p w14:paraId="27707320" w14:textId="77777777" w:rsidR="00CA387E" w:rsidRPr="00BC57ED" w:rsidRDefault="00CA387E" w:rsidP="00CA387E">
      <w:pPr>
        <w:pStyle w:val="ListParagraph"/>
        <w:numPr>
          <w:ilvl w:val="1"/>
          <w:numId w:val="6"/>
        </w:numPr>
        <w:tabs>
          <w:tab w:val="left" w:pos="3217"/>
        </w:tabs>
        <w:rPr>
          <w:rFonts w:ascii="Times New Roman" w:eastAsia="Times New Roman" w:hAnsi="Times New Roman" w:cs="Times New Roman"/>
          <w:sz w:val="24"/>
          <w:szCs w:val="24"/>
          <w:lang w:eastAsia="en-IE"/>
        </w:rPr>
      </w:pPr>
      <w:r w:rsidRPr="00BC57ED">
        <w:rPr>
          <w:rFonts w:ascii="Times New Roman" w:hAnsi="Times New Roman" w:cs="Times New Roman"/>
          <w:bCs/>
          <w:sz w:val="24"/>
          <w:szCs w:val="24"/>
        </w:rPr>
        <w:t>The Recast Asylum Procedures Directive (2013/32/EU)</w:t>
      </w:r>
    </w:p>
    <w:p w14:paraId="1FFD565D" w14:textId="77777777" w:rsidR="00CA387E" w:rsidRPr="00BC57ED" w:rsidRDefault="00CA387E" w:rsidP="00CA387E">
      <w:pPr>
        <w:pStyle w:val="ListParagraph"/>
        <w:numPr>
          <w:ilvl w:val="1"/>
          <w:numId w:val="6"/>
        </w:numPr>
        <w:tabs>
          <w:tab w:val="left" w:pos="3217"/>
        </w:tabs>
        <w:rPr>
          <w:rFonts w:ascii="Times New Roman" w:eastAsia="Times New Roman" w:hAnsi="Times New Roman" w:cs="Times New Roman"/>
          <w:sz w:val="24"/>
          <w:szCs w:val="24"/>
          <w:lang w:eastAsia="en-IE"/>
        </w:rPr>
      </w:pPr>
      <w:r w:rsidRPr="00BC57ED">
        <w:rPr>
          <w:rFonts w:ascii="Times New Roman" w:hAnsi="Times New Roman" w:cs="Times New Roman"/>
          <w:bCs/>
          <w:sz w:val="24"/>
          <w:szCs w:val="24"/>
        </w:rPr>
        <w:t>The Temporary Protection Directive (</w:t>
      </w:r>
      <w:r w:rsidRPr="00BC57ED">
        <w:rPr>
          <w:rFonts w:ascii="Times New Roman" w:hAnsi="Times New Roman" w:cs="Times New Roman"/>
          <w:sz w:val="24"/>
          <w:szCs w:val="24"/>
          <w:shd w:val="clear" w:color="auto" w:fill="FFFFFF"/>
        </w:rPr>
        <w:t>2001/55/EC)</w:t>
      </w:r>
    </w:p>
    <w:p w14:paraId="54E6E90D" w14:textId="77777777" w:rsidR="00CA387E" w:rsidRPr="00BC57ED" w:rsidRDefault="00CA387E" w:rsidP="00CA387E">
      <w:pPr>
        <w:pStyle w:val="ListParagraph"/>
        <w:numPr>
          <w:ilvl w:val="0"/>
          <w:numId w:val="6"/>
        </w:numPr>
        <w:spacing w:after="0"/>
        <w:rPr>
          <w:rFonts w:ascii="Times New Roman" w:hAnsi="Times New Roman" w:cs="Times New Roman"/>
          <w:bCs/>
          <w:sz w:val="24"/>
          <w:szCs w:val="24"/>
        </w:rPr>
      </w:pPr>
      <w:r w:rsidRPr="00BC57ED">
        <w:rPr>
          <w:rFonts w:ascii="Times New Roman" w:hAnsi="Times New Roman" w:cs="Times New Roman"/>
          <w:bCs/>
          <w:sz w:val="24"/>
          <w:szCs w:val="24"/>
        </w:rPr>
        <w:t>Explore the pending instruments under the new Pact:</w:t>
      </w:r>
    </w:p>
    <w:p w14:paraId="39878B90" w14:textId="77777777" w:rsidR="00CA387E" w:rsidRPr="00BC57ED" w:rsidRDefault="00CA387E" w:rsidP="00CA387E">
      <w:pPr>
        <w:spacing w:after="0"/>
        <w:ind w:left="360"/>
        <w:rPr>
          <w:rFonts w:ascii="Times New Roman" w:hAnsi="Times New Roman" w:cs="Times New Roman"/>
          <w:bCs/>
          <w:sz w:val="24"/>
          <w:szCs w:val="24"/>
        </w:rPr>
      </w:pPr>
      <w:hyperlink r:id="rId6" w:history="1">
        <w:r w:rsidRPr="00BC57ED">
          <w:rPr>
            <w:rStyle w:val="Hyperlink"/>
            <w:rFonts w:ascii="Times New Roman" w:hAnsi="Times New Roman" w:cs="Times New Roman"/>
            <w:bCs/>
            <w:sz w:val="24"/>
            <w:szCs w:val="24"/>
          </w:rPr>
          <w:t>https://home-affairs.ec.europa.eu/policies/migration-and-asylum/pact-migration-and-asylum/legislative-files-nutshell_en</w:t>
        </w:r>
      </w:hyperlink>
    </w:p>
    <w:p w14:paraId="2001E61C" w14:textId="77777777" w:rsidR="00CA387E" w:rsidRDefault="00CA387E" w:rsidP="00CA387E">
      <w:pPr>
        <w:spacing w:after="0"/>
        <w:rPr>
          <w:rFonts w:ascii="Times New Roman" w:eastAsia="Times New Roman" w:hAnsi="Times New Roman" w:cs="Times New Roman"/>
          <w:sz w:val="24"/>
          <w:szCs w:val="24"/>
          <w:lang w:eastAsia="en-IE"/>
        </w:rPr>
      </w:pPr>
    </w:p>
    <w:p w14:paraId="03E58F00" w14:textId="77777777" w:rsidR="00CA387E" w:rsidRPr="00BC57ED" w:rsidRDefault="00CA387E" w:rsidP="00CA387E">
      <w:pPr>
        <w:spacing w:after="0"/>
        <w:rPr>
          <w:rFonts w:ascii="Times New Roman" w:hAnsi="Times New Roman" w:cs="Times New Roman"/>
          <w:b/>
          <w:sz w:val="24"/>
          <w:szCs w:val="24"/>
          <w:u w:val="single"/>
        </w:rPr>
      </w:pPr>
    </w:p>
    <w:p w14:paraId="18ABA9C6" w14:textId="77777777" w:rsidR="00CA387E" w:rsidRPr="00BC57ED" w:rsidRDefault="00CA387E" w:rsidP="00CA387E">
      <w:pPr>
        <w:spacing w:after="0"/>
        <w:rPr>
          <w:rFonts w:ascii="Times New Roman" w:hAnsi="Times New Roman" w:cs="Times New Roman"/>
          <w:b/>
          <w:sz w:val="24"/>
          <w:szCs w:val="24"/>
          <w:u w:val="single"/>
        </w:rPr>
      </w:pPr>
      <w:r w:rsidRPr="00BC57ED">
        <w:rPr>
          <w:rFonts w:ascii="Times New Roman" w:hAnsi="Times New Roman" w:cs="Times New Roman"/>
          <w:b/>
          <w:sz w:val="24"/>
          <w:szCs w:val="24"/>
          <w:u w:val="single"/>
        </w:rPr>
        <w:t>Seminar 1 – History of the CEAS, overview of key instruments, overview of pending changes under the new EU Pact</w:t>
      </w:r>
    </w:p>
    <w:p w14:paraId="0C9CE24E" w14:textId="77777777" w:rsidR="00CA387E" w:rsidRDefault="00CA387E" w:rsidP="00CA387E">
      <w:pPr>
        <w:pStyle w:val="ListParagraph"/>
        <w:numPr>
          <w:ilvl w:val="0"/>
          <w:numId w:val="6"/>
        </w:numPr>
        <w:tabs>
          <w:tab w:val="left" w:pos="3217"/>
        </w:tabs>
        <w:rPr>
          <w:rFonts w:ascii="Times New Roman" w:eastAsia="Times New Roman" w:hAnsi="Times New Roman" w:cs="Times New Roman"/>
          <w:sz w:val="24"/>
          <w:szCs w:val="24"/>
          <w:lang w:eastAsia="en-IE"/>
        </w:rPr>
      </w:pPr>
      <w:r w:rsidRPr="00BC57ED">
        <w:rPr>
          <w:rFonts w:ascii="Times New Roman" w:eastAsia="Times New Roman" w:hAnsi="Times New Roman" w:cs="Times New Roman"/>
          <w:sz w:val="24"/>
          <w:szCs w:val="24"/>
          <w:lang w:eastAsia="en-IE"/>
        </w:rPr>
        <w:t xml:space="preserve">Ciara Smyth, Chapter 1, </w:t>
      </w:r>
      <w:r w:rsidRPr="00BC57ED">
        <w:rPr>
          <w:rFonts w:ascii="Times New Roman" w:eastAsia="Times New Roman" w:hAnsi="Times New Roman" w:cs="Times New Roman"/>
          <w:i/>
          <w:sz w:val="24"/>
          <w:szCs w:val="24"/>
          <w:lang w:eastAsia="en-IE"/>
        </w:rPr>
        <w:t>European Asylum Law and the Rights of the Child</w:t>
      </w:r>
      <w:r w:rsidRPr="00BC57ED">
        <w:rPr>
          <w:rFonts w:ascii="Times New Roman" w:eastAsia="Times New Roman" w:hAnsi="Times New Roman" w:cs="Times New Roman"/>
          <w:sz w:val="24"/>
          <w:szCs w:val="24"/>
          <w:lang w:eastAsia="en-IE"/>
        </w:rPr>
        <w:t>, Routledge, 2014 (posted on Canvas).</w:t>
      </w:r>
    </w:p>
    <w:p w14:paraId="79A287D9" w14:textId="77777777" w:rsidR="00CA387E" w:rsidRDefault="00CA387E" w:rsidP="00CA387E">
      <w:pPr>
        <w:pStyle w:val="ListParagraph"/>
        <w:numPr>
          <w:ilvl w:val="0"/>
          <w:numId w:val="6"/>
        </w:numPr>
        <w:tabs>
          <w:tab w:val="left" w:pos="3217"/>
        </w:tabs>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Patricia Casandra Papuc, Analysis of the EU’s new Pact on Migration and Asylum, </w:t>
      </w:r>
      <w:r w:rsidRPr="00D06AB8">
        <w:rPr>
          <w:rFonts w:ascii="Times New Roman" w:eastAsia="Times New Roman" w:hAnsi="Times New Roman" w:cs="Times New Roman"/>
          <w:i/>
          <w:sz w:val="24"/>
          <w:szCs w:val="24"/>
          <w:lang w:eastAsia="en-IE"/>
        </w:rPr>
        <w:t>Challenges of the Knowledge Society</w:t>
      </w:r>
      <w:r>
        <w:rPr>
          <w:rFonts w:ascii="Times New Roman" w:eastAsia="Times New Roman" w:hAnsi="Times New Roman" w:cs="Times New Roman"/>
          <w:sz w:val="24"/>
          <w:szCs w:val="24"/>
          <w:lang w:eastAsia="en-IE"/>
        </w:rPr>
        <w:t xml:space="preserve">, </w:t>
      </w:r>
      <w:r w:rsidRPr="00D06AB8">
        <w:rPr>
          <w:rFonts w:ascii="Times New Roman" w:eastAsia="Times New Roman" w:hAnsi="Times New Roman" w:cs="Times New Roman"/>
          <w:i/>
          <w:sz w:val="24"/>
          <w:szCs w:val="24"/>
          <w:lang w:eastAsia="en-IE"/>
        </w:rPr>
        <w:t>Public Law</w:t>
      </w:r>
      <w:r>
        <w:rPr>
          <w:rFonts w:ascii="Times New Roman" w:eastAsia="Times New Roman" w:hAnsi="Times New Roman" w:cs="Times New Roman"/>
          <w:sz w:val="24"/>
          <w:szCs w:val="24"/>
          <w:lang w:eastAsia="en-IE"/>
        </w:rPr>
        <w:t>, 2021, 447-452 (posted on Canvas)</w:t>
      </w:r>
    </w:p>
    <w:p w14:paraId="6B4294E7" w14:textId="77777777" w:rsidR="00CA387E" w:rsidRDefault="00CA387E" w:rsidP="00CA387E">
      <w:pPr>
        <w:pStyle w:val="ListParagraph"/>
        <w:numPr>
          <w:ilvl w:val="0"/>
          <w:numId w:val="6"/>
        </w:numPr>
        <w:tabs>
          <w:tab w:val="left" w:pos="3217"/>
        </w:tabs>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Above secondary legislation – read for gist not detail</w:t>
      </w:r>
    </w:p>
    <w:p w14:paraId="74575288" w14:textId="77777777" w:rsidR="00CA387E" w:rsidRPr="00D06AB8" w:rsidRDefault="00CA387E" w:rsidP="00CA387E">
      <w:pPr>
        <w:pStyle w:val="ListParagraph"/>
        <w:tabs>
          <w:tab w:val="left" w:pos="3217"/>
        </w:tabs>
        <w:rPr>
          <w:rFonts w:ascii="Times New Roman" w:eastAsia="Times New Roman" w:hAnsi="Times New Roman" w:cs="Times New Roman"/>
          <w:sz w:val="24"/>
          <w:szCs w:val="24"/>
          <w:lang w:eastAsia="en-IE"/>
        </w:rPr>
      </w:pPr>
    </w:p>
    <w:p w14:paraId="55062BE8" w14:textId="77777777" w:rsidR="00CA387E" w:rsidRPr="00BC57ED" w:rsidRDefault="00CA387E" w:rsidP="00CA387E">
      <w:pPr>
        <w:spacing w:after="0"/>
        <w:rPr>
          <w:rFonts w:ascii="Times New Roman" w:hAnsi="Times New Roman" w:cs="Times New Roman"/>
          <w:b/>
          <w:sz w:val="24"/>
          <w:szCs w:val="24"/>
          <w:u w:val="single"/>
        </w:rPr>
      </w:pPr>
      <w:r w:rsidRPr="00BC57ED">
        <w:rPr>
          <w:rFonts w:ascii="Times New Roman" w:hAnsi="Times New Roman" w:cs="Times New Roman"/>
          <w:b/>
          <w:sz w:val="24"/>
          <w:szCs w:val="24"/>
          <w:u w:val="single"/>
        </w:rPr>
        <w:t>Seminar 2 – The recast Qualification Directive, select jurisprudence, the pending Qualification Regulation</w:t>
      </w:r>
    </w:p>
    <w:p w14:paraId="68CF50E6" w14:textId="77777777" w:rsidR="00CA387E" w:rsidRPr="00BC57ED" w:rsidRDefault="00CA387E" w:rsidP="00CA387E">
      <w:pPr>
        <w:pStyle w:val="ListParagraph"/>
        <w:numPr>
          <w:ilvl w:val="0"/>
          <w:numId w:val="3"/>
        </w:numPr>
        <w:spacing w:after="0"/>
        <w:rPr>
          <w:rFonts w:ascii="Times New Roman" w:hAnsi="Times New Roman" w:cs="Times New Roman"/>
          <w:sz w:val="24"/>
          <w:szCs w:val="24"/>
        </w:rPr>
      </w:pPr>
      <w:r w:rsidRPr="00BC57ED">
        <w:rPr>
          <w:rFonts w:ascii="Times New Roman" w:hAnsi="Times New Roman" w:cs="Times New Roman"/>
          <w:sz w:val="24"/>
          <w:szCs w:val="24"/>
        </w:rPr>
        <w:t>Do a close reading of the text of the Recast Qualification Directive and compare it with the pending Qualification Regulation</w:t>
      </w:r>
    </w:p>
    <w:p w14:paraId="745F7DCA" w14:textId="77777777" w:rsidR="00CA387E" w:rsidRPr="00BC57ED" w:rsidRDefault="00CA387E" w:rsidP="00CA387E">
      <w:pPr>
        <w:pStyle w:val="ListParagraph"/>
        <w:numPr>
          <w:ilvl w:val="0"/>
          <w:numId w:val="3"/>
        </w:numPr>
        <w:spacing w:after="0"/>
        <w:rPr>
          <w:rFonts w:ascii="Times New Roman" w:hAnsi="Times New Roman" w:cs="Times New Roman"/>
          <w:sz w:val="24"/>
          <w:szCs w:val="24"/>
        </w:rPr>
      </w:pPr>
      <w:r w:rsidRPr="00BC57ED">
        <w:rPr>
          <w:rFonts w:ascii="Times New Roman" w:hAnsi="Times New Roman" w:cs="Times New Roman"/>
          <w:sz w:val="24"/>
          <w:szCs w:val="24"/>
        </w:rPr>
        <w:t>On EUR-Lex, read the following cases:</w:t>
      </w:r>
    </w:p>
    <w:p w14:paraId="0E69A05A" w14:textId="77777777" w:rsidR="00CA387E" w:rsidRPr="00BC57ED" w:rsidRDefault="00CA387E" w:rsidP="00CA387E">
      <w:pPr>
        <w:spacing w:after="0"/>
        <w:ind w:left="360"/>
        <w:rPr>
          <w:rFonts w:ascii="Times New Roman" w:hAnsi="Times New Roman" w:cs="Times New Roman"/>
          <w:sz w:val="24"/>
          <w:szCs w:val="24"/>
          <w:u w:val="single"/>
        </w:rPr>
      </w:pPr>
      <w:r w:rsidRPr="00BC57ED">
        <w:rPr>
          <w:rFonts w:ascii="Times New Roman" w:hAnsi="Times New Roman" w:cs="Times New Roman"/>
          <w:sz w:val="24"/>
          <w:szCs w:val="24"/>
          <w:u w:val="single"/>
        </w:rPr>
        <w:t>Sexual orientation</w:t>
      </w:r>
    </w:p>
    <w:p w14:paraId="05395AD1" w14:textId="77777777" w:rsidR="00CA387E" w:rsidRPr="00BC57ED" w:rsidRDefault="00CA387E" w:rsidP="00CA387E">
      <w:pPr>
        <w:spacing w:after="0"/>
        <w:ind w:firstLine="360"/>
        <w:rPr>
          <w:rFonts w:ascii="Times New Roman" w:hAnsi="Times New Roman" w:cs="Times New Roman"/>
          <w:bCs/>
          <w:i/>
          <w:sz w:val="24"/>
          <w:szCs w:val="24"/>
        </w:rPr>
      </w:pPr>
      <w:r w:rsidRPr="00BC57ED">
        <w:rPr>
          <w:rFonts w:ascii="Times New Roman" w:hAnsi="Times New Roman" w:cs="Times New Roman"/>
          <w:sz w:val="24"/>
          <w:szCs w:val="24"/>
        </w:rPr>
        <w:t xml:space="preserve">-CJEU 7 Nov. 2013, C-199/12, </w:t>
      </w:r>
      <w:r w:rsidRPr="00BC57ED">
        <w:rPr>
          <w:rFonts w:ascii="Times New Roman" w:hAnsi="Times New Roman" w:cs="Times New Roman"/>
          <w:i/>
          <w:sz w:val="24"/>
          <w:szCs w:val="24"/>
        </w:rPr>
        <w:t>X, Y &amp; Z</w:t>
      </w:r>
    </w:p>
    <w:p w14:paraId="045DA74C" w14:textId="77777777" w:rsidR="00CA387E" w:rsidRPr="00BC57ED" w:rsidRDefault="00CA387E" w:rsidP="00CA387E">
      <w:pPr>
        <w:spacing w:after="0"/>
        <w:ind w:firstLine="360"/>
        <w:rPr>
          <w:rFonts w:ascii="Times New Roman" w:hAnsi="Times New Roman" w:cs="Times New Roman"/>
          <w:sz w:val="24"/>
          <w:szCs w:val="24"/>
        </w:rPr>
      </w:pPr>
      <w:r w:rsidRPr="00BC57ED">
        <w:rPr>
          <w:rFonts w:ascii="Times New Roman" w:hAnsi="Times New Roman" w:cs="Times New Roman"/>
          <w:sz w:val="24"/>
          <w:szCs w:val="24"/>
        </w:rPr>
        <w:t xml:space="preserve">-CJEU 2 Dec. 2014, C-148/13, </w:t>
      </w:r>
      <w:r w:rsidRPr="00BC57ED">
        <w:rPr>
          <w:rFonts w:ascii="Times New Roman" w:hAnsi="Times New Roman" w:cs="Times New Roman"/>
          <w:i/>
          <w:sz w:val="24"/>
          <w:szCs w:val="24"/>
        </w:rPr>
        <w:t>A, B &amp; C</w:t>
      </w:r>
    </w:p>
    <w:p w14:paraId="17E7B7E6" w14:textId="77777777" w:rsidR="00CA387E" w:rsidRPr="00BC57ED" w:rsidRDefault="00CA387E" w:rsidP="00CA387E">
      <w:pPr>
        <w:spacing w:after="0"/>
        <w:ind w:firstLine="360"/>
        <w:rPr>
          <w:rFonts w:ascii="Times New Roman" w:hAnsi="Times New Roman" w:cs="Times New Roman"/>
          <w:i/>
          <w:sz w:val="24"/>
          <w:szCs w:val="24"/>
        </w:rPr>
      </w:pPr>
      <w:r w:rsidRPr="00BC57ED">
        <w:rPr>
          <w:rFonts w:ascii="Times New Roman" w:hAnsi="Times New Roman" w:cs="Times New Roman"/>
          <w:sz w:val="24"/>
          <w:szCs w:val="24"/>
        </w:rPr>
        <w:t xml:space="preserve">-CJEU 25 Jan. 2018, C-473/16, </w:t>
      </w:r>
      <w:r w:rsidRPr="00BC57ED">
        <w:rPr>
          <w:rFonts w:ascii="Times New Roman" w:hAnsi="Times New Roman" w:cs="Times New Roman"/>
          <w:i/>
          <w:sz w:val="24"/>
          <w:szCs w:val="24"/>
        </w:rPr>
        <w:t>F</w:t>
      </w:r>
    </w:p>
    <w:p w14:paraId="2F86A941" w14:textId="77777777" w:rsidR="00CA387E" w:rsidRPr="00BC57ED" w:rsidRDefault="00CA387E" w:rsidP="00CA387E">
      <w:pPr>
        <w:spacing w:after="0"/>
        <w:ind w:firstLine="360"/>
        <w:rPr>
          <w:rFonts w:ascii="Times New Roman" w:hAnsi="Times New Roman" w:cs="Times New Roman"/>
          <w:sz w:val="24"/>
          <w:szCs w:val="24"/>
          <w:u w:val="single"/>
        </w:rPr>
      </w:pPr>
      <w:r w:rsidRPr="00BC57ED">
        <w:rPr>
          <w:rFonts w:ascii="Times New Roman" w:hAnsi="Times New Roman" w:cs="Times New Roman"/>
          <w:sz w:val="24"/>
          <w:szCs w:val="24"/>
          <w:u w:val="single"/>
        </w:rPr>
        <w:t>Exclusion</w:t>
      </w:r>
    </w:p>
    <w:p w14:paraId="5C17ED04" w14:textId="77777777" w:rsidR="00CA387E" w:rsidRPr="00BC57ED" w:rsidRDefault="00CA387E" w:rsidP="00CA387E">
      <w:pPr>
        <w:spacing w:after="0"/>
        <w:ind w:firstLine="360"/>
        <w:rPr>
          <w:rFonts w:ascii="Times New Roman" w:hAnsi="Times New Roman" w:cs="Times New Roman"/>
          <w:i/>
          <w:sz w:val="24"/>
          <w:szCs w:val="24"/>
        </w:rPr>
      </w:pPr>
      <w:r w:rsidRPr="00BC57ED">
        <w:rPr>
          <w:rFonts w:ascii="Times New Roman" w:hAnsi="Times New Roman" w:cs="Times New Roman"/>
          <w:sz w:val="24"/>
          <w:szCs w:val="24"/>
        </w:rPr>
        <w:t xml:space="preserve">-CJEU 9 Nov. 2010, C-57/09 + C-101/09, </w:t>
      </w:r>
      <w:r w:rsidRPr="00BC57ED">
        <w:rPr>
          <w:rFonts w:ascii="Times New Roman" w:hAnsi="Times New Roman" w:cs="Times New Roman"/>
          <w:i/>
          <w:sz w:val="24"/>
          <w:szCs w:val="24"/>
        </w:rPr>
        <w:t>B &amp; D</w:t>
      </w:r>
    </w:p>
    <w:p w14:paraId="1CEC9A75" w14:textId="77777777" w:rsidR="00CA387E" w:rsidRPr="00BC57ED" w:rsidRDefault="00CA387E" w:rsidP="00CA387E">
      <w:pPr>
        <w:spacing w:after="0"/>
        <w:ind w:firstLine="360"/>
        <w:rPr>
          <w:rFonts w:ascii="Times New Roman" w:hAnsi="Times New Roman" w:cs="Times New Roman"/>
          <w:i/>
          <w:sz w:val="24"/>
          <w:szCs w:val="24"/>
        </w:rPr>
      </w:pPr>
      <w:r w:rsidRPr="00BC57ED">
        <w:rPr>
          <w:rFonts w:ascii="Times New Roman" w:hAnsi="Times New Roman" w:cs="Times New Roman"/>
          <w:sz w:val="24"/>
          <w:szCs w:val="24"/>
        </w:rPr>
        <w:t xml:space="preserve">-CJEU 31 Jan. 2017, C-573/14, </w:t>
      </w:r>
      <w:r w:rsidRPr="00BC57ED">
        <w:rPr>
          <w:rFonts w:ascii="Times New Roman" w:hAnsi="Times New Roman" w:cs="Times New Roman"/>
          <w:i/>
          <w:sz w:val="24"/>
          <w:szCs w:val="24"/>
        </w:rPr>
        <w:t>Lounani</w:t>
      </w:r>
    </w:p>
    <w:p w14:paraId="3BEE327A" w14:textId="77777777" w:rsidR="00CA387E" w:rsidRPr="00BC57ED" w:rsidRDefault="00CA387E" w:rsidP="00CA387E">
      <w:pPr>
        <w:spacing w:after="0"/>
        <w:ind w:firstLine="360"/>
        <w:rPr>
          <w:rFonts w:ascii="Times New Roman" w:hAnsi="Times New Roman" w:cs="Times New Roman"/>
          <w:sz w:val="24"/>
          <w:szCs w:val="24"/>
        </w:rPr>
      </w:pPr>
      <w:r w:rsidRPr="00BC57ED">
        <w:rPr>
          <w:rFonts w:ascii="Times New Roman" w:hAnsi="Times New Roman" w:cs="Times New Roman"/>
          <w:sz w:val="24"/>
          <w:szCs w:val="24"/>
        </w:rPr>
        <w:t>-CJEU 13 Sept. 2018, C-369/17,</w:t>
      </w:r>
      <w:r w:rsidRPr="00BC57ED">
        <w:rPr>
          <w:rFonts w:ascii="Times New Roman" w:hAnsi="Times New Roman" w:cs="Times New Roman"/>
          <w:i/>
          <w:sz w:val="24"/>
          <w:szCs w:val="24"/>
        </w:rPr>
        <w:t xml:space="preserve"> Shajin Ahmed</w:t>
      </w:r>
    </w:p>
    <w:p w14:paraId="3C134019" w14:textId="77777777" w:rsidR="00CA387E" w:rsidRPr="00BC57ED" w:rsidRDefault="00CA387E" w:rsidP="00CA387E">
      <w:pPr>
        <w:spacing w:after="0"/>
        <w:ind w:firstLine="360"/>
        <w:rPr>
          <w:rFonts w:ascii="Times New Roman" w:hAnsi="Times New Roman" w:cs="Times New Roman"/>
          <w:sz w:val="24"/>
          <w:szCs w:val="24"/>
          <w:u w:val="single"/>
        </w:rPr>
      </w:pPr>
      <w:r w:rsidRPr="00BC57ED">
        <w:rPr>
          <w:rFonts w:ascii="Times New Roman" w:hAnsi="Times New Roman" w:cs="Times New Roman"/>
          <w:sz w:val="24"/>
          <w:szCs w:val="24"/>
          <w:u w:val="single"/>
        </w:rPr>
        <w:t>Subsidiary protection</w:t>
      </w:r>
    </w:p>
    <w:p w14:paraId="498EC763" w14:textId="77777777" w:rsidR="00CA387E" w:rsidRPr="00BC57ED" w:rsidRDefault="00CA387E" w:rsidP="00CA387E">
      <w:pPr>
        <w:spacing w:after="0"/>
        <w:ind w:firstLine="360"/>
        <w:rPr>
          <w:rFonts w:ascii="Times New Roman" w:hAnsi="Times New Roman" w:cs="Times New Roman"/>
          <w:i/>
          <w:sz w:val="24"/>
          <w:szCs w:val="24"/>
        </w:rPr>
      </w:pPr>
      <w:r w:rsidRPr="00BC57ED">
        <w:rPr>
          <w:rFonts w:ascii="Times New Roman" w:hAnsi="Times New Roman" w:cs="Times New Roman"/>
          <w:sz w:val="24"/>
          <w:szCs w:val="24"/>
        </w:rPr>
        <w:t xml:space="preserve">-CJEU 17 Feb. 2009, C-465/07, </w:t>
      </w:r>
      <w:r w:rsidRPr="00BC57ED">
        <w:rPr>
          <w:rFonts w:ascii="Times New Roman" w:hAnsi="Times New Roman" w:cs="Times New Roman"/>
          <w:i/>
          <w:sz w:val="24"/>
          <w:szCs w:val="24"/>
        </w:rPr>
        <w:t>Elgafaji</w:t>
      </w:r>
    </w:p>
    <w:p w14:paraId="058405AC" w14:textId="77777777" w:rsidR="00CA387E" w:rsidRPr="00BC57ED" w:rsidRDefault="00CA387E" w:rsidP="00CA387E">
      <w:pPr>
        <w:spacing w:after="0"/>
        <w:ind w:firstLine="360"/>
        <w:rPr>
          <w:rFonts w:ascii="Times New Roman" w:hAnsi="Times New Roman" w:cs="Times New Roman"/>
          <w:i/>
          <w:sz w:val="24"/>
          <w:szCs w:val="24"/>
        </w:rPr>
      </w:pPr>
      <w:r w:rsidRPr="00BC57ED">
        <w:rPr>
          <w:rFonts w:ascii="Times New Roman" w:hAnsi="Times New Roman" w:cs="Times New Roman"/>
          <w:sz w:val="24"/>
          <w:szCs w:val="24"/>
        </w:rPr>
        <w:t xml:space="preserve">-CJEU 30 Jan. 2014, C-285/12, </w:t>
      </w:r>
      <w:r w:rsidRPr="00BC57ED">
        <w:rPr>
          <w:rFonts w:ascii="Times New Roman" w:hAnsi="Times New Roman" w:cs="Times New Roman"/>
          <w:i/>
          <w:sz w:val="24"/>
          <w:szCs w:val="24"/>
        </w:rPr>
        <w:t>Diakite</w:t>
      </w:r>
    </w:p>
    <w:p w14:paraId="34DA4FC2" w14:textId="77777777" w:rsidR="00CA387E" w:rsidRPr="00BC57ED" w:rsidRDefault="00CA387E" w:rsidP="00CA387E">
      <w:pPr>
        <w:spacing w:after="0"/>
        <w:ind w:firstLine="360"/>
        <w:rPr>
          <w:rFonts w:ascii="Times New Roman" w:hAnsi="Times New Roman" w:cs="Times New Roman"/>
          <w:i/>
          <w:sz w:val="24"/>
          <w:szCs w:val="24"/>
        </w:rPr>
      </w:pPr>
      <w:r w:rsidRPr="00BC57ED">
        <w:rPr>
          <w:rFonts w:ascii="Times New Roman" w:hAnsi="Times New Roman" w:cs="Times New Roman"/>
          <w:sz w:val="24"/>
          <w:szCs w:val="24"/>
        </w:rPr>
        <w:t>-CJEU 10 June 2021, C-901/19,</w:t>
      </w:r>
      <w:r w:rsidRPr="00BC57ED">
        <w:rPr>
          <w:rFonts w:ascii="Times New Roman" w:hAnsi="Times New Roman" w:cs="Times New Roman"/>
          <w:i/>
          <w:sz w:val="24"/>
          <w:szCs w:val="24"/>
        </w:rPr>
        <w:t xml:space="preserve"> C.F &amp; D.N.</w:t>
      </w:r>
    </w:p>
    <w:p w14:paraId="363288C3" w14:textId="77777777" w:rsidR="00CA387E" w:rsidRPr="00BC57ED" w:rsidRDefault="00CA387E" w:rsidP="00CA387E">
      <w:pPr>
        <w:spacing w:after="0"/>
        <w:rPr>
          <w:rFonts w:ascii="Times New Roman" w:hAnsi="Times New Roman" w:cs="Times New Roman"/>
          <w:b/>
          <w:sz w:val="24"/>
          <w:szCs w:val="24"/>
          <w:u w:val="single"/>
        </w:rPr>
      </w:pPr>
    </w:p>
    <w:p w14:paraId="4BB57F06" w14:textId="77777777" w:rsidR="00CA387E" w:rsidRDefault="00CA387E" w:rsidP="00CA387E">
      <w:pPr>
        <w:spacing w:after="0"/>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CD6EF63" w14:textId="77777777" w:rsidR="00CA387E" w:rsidRPr="00BC57ED" w:rsidRDefault="00CA387E" w:rsidP="00CA387E">
      <w:pPr>
        <w:spacing w:after="0"/>
        <w:rPr>
          <w:rFonts w:ascii="Times New Roman" w:hAnsi="Times New Roman" w:cs="Times New Roman"/>
          <w:b/>
          <w:sz w:val="24"/>
          <w:szCs w:val="24"/>
          <w:u w:val="single"/>
        </w:rPr>
      </w:pPr>
      <w:r w:rsidRPr="00BC57ED">
        <w:rPr>
          <w:rFonts w:ascii="Times New Roman" w:hAnsi="Times New Roman" w:cs="Times New Roman"/>
          <w:b/>
          <w:sz w:val="24"/>
          <w:szCs w:val="24"/>
          <w:u w:val="single"/>
        </w:rPr>
        <w:lastRenderedPageBreak/>
        <w:t>Seminar 3 – The Dublin III Regulation, select jurisprudence, the pending Regulation on Asylum and Migration Management</w:t>
      </w:r>
    </w:p>
    <w:p w14:paraId="2CAA5327" w14:textId="77777777" w:rsidR="00CA387E" w:rsidRPr="00BC57ED" w:rsidRDefault="00CA387E" w:rsidP="00CA387E">
      <w:pPr>
        <w:spacing w:after="0"/>
        <w:rPr>
          <w:rFonts w:ascii="Times New Roman" w:hAnsi="Times New Roman" w:cs="Times New Roman"/>
          <w:sz w:val="24"/>
          <w:szCs w:val="24"/>
        </w:rPr>
      </w:pPr>
    </w:p>
    <w:p w14:paraId="1D44BCC3" w14:textId="77777777" w:rsidR="00CA387E" w:rsidRPr="00BC57ED" w:rsidRDefault="00CA387E" w:rsidP="00CA387E">
      <w:pPr>
        <w:pStyle w:val="ListParagraph"/>
        <w:numPr>
          <w:ilvl w:val="0"/>
          <w:numId w:val="4"/>
        </w:numPr>
        <w:spacing w:after="0"/>
        <w:rPr>
          <w:rFonts w:ascii="Times New Roman" w:eastAsia="Times New Roman" w:hAnsi="Times New Roman" w:cs="Times New Roman"/>
          <w:sz w:val="24"/>
          <w:szCs w:val="24"/>
          <w:lang w:eastAsia="en-IE"/>
        </w:rPr>
      </w:pPr>
      <w:r w:rsidRPr="00BC57ED">
        <w:rPr>
          <w:rFonts w:ascii="Times New Roman" w:hAnsi="Times New Roman" w:cs="Times New Roman"/>
          <w:sz w:val="24"/>
          <w:szCs w:val="24"/>
        </w:rPr>
        <w:t>Do a close reading of the text of the Dublin III Regulation and compare it with the pending Regulation on Asylum and Migration Management</w:t>
      </w:r>
    </w:p>
    <w:p w14:paraId="710A4427" w14:textId="77777777" w:rsidR="00CA387E" w:rsidRPr="00BC57ED" w:rsidRDefault="00CA387E" w:rsidP="00CA387E">
      <w:pPr>
        <w:pStyle w:val="ListParagraph"/>
        <w:numPr>
          <w:ilvl w:val="0"/>
          <w:numId w:val="4"/>
        </w:numPr>
        <w:spacing w:after="0"/>
        <w:rPr>
          <w:rFonts w:ascii="Times New Roman" w:eastAsia="Times New Roman" w:hAnsi="Times New Roman" w:cs="Times New Roman"/>
          <w:sz w:val="24"/>
          <w:szCs w:val="24"/>
          <w:lang w:eastAsia="en-IE"/>
        </w:rPr>
      </w:pPr>
      <w:r w:rsidRPr="00BC57ED">
        <w:rPr>
          <w:rFonts w:ascii="Times New Roman" w:eastAsia="Times New Roman" w:hAnsi="Times New Roman" w:cs="Times New Roman"/>
          <w:sz w:val="24"/>
          <w:szCs w:val="24"/>
          <w:lang w:eastAsia="en-IE"/>
        </w:rPr>
        <w:t>Read the following key cases on EUR-Lex:</w:t>
      </w:r>
    </w:p>
    <w:p w14:paraId="31E578AA" w14:textId="77777777" w:rsidR="00CA387E" w:rsidRPr="00BC57ED" w:rsidRDefault="00CA387E" w:rsidP="00CA387E">
      <w:pPr>
        <w:pStyle w:val="ListParagraph"/>
        <w:spacing w:after="0"/>
        <w:rPr>
          <w:rFonts w:ascii="Times New Roman" w:hAnsi="Times New Roman" w:cs="Times New Roman"/>
          <w:i/>
          <w:sz w:val="24"/>
          <w:szCs w:val="24"/>
        </w:rPr>
      </w:pPr>
      <w:r w:rsidRPr="00BC57ED">
        <w:rPr>
          <w:rFonts w:ascii="Times New Roman" w:eastAsia="Times New Roman" w:hAnsi="Times New Roman" w:cs="Times New Roman"/>
          <w:sz w:val="24"/>
          <w:szCs w:val="24"/>
          <w:lang w:eastAsia="en-IE"/>
        </w:rPr>
        <w:t xml:space="preserve">-CJEU </w:t>
      </w:r>
      <w:r w:rsidRPr="00BC57ED">
        <w:rPr>
          <w:rFonts w:ascii="Times New Roman" w:hAnsi="Times New Roman" w:cs="Times New Roman"/>
          <w:sz w:val="24"/>
          <w:szCs w:val="24"/>
        </w:rPr>
        <w:t>21 December 2011, Joined Cases C</w:t>
      </w:r>
      <w:r w:rsidRPr="00BC57ED">
        <w:rPr>
          <w:rFonts w:ascii="Times New Roman" w:hAnsi="Times New Roman" w:cs="Times New Roman"/>
          <w:sz w:val="24"/>
          <w:szCs w:val="24"/>
        </w:rPr>
        <w:noBreakHyphen/>
        <w:t>411/10 and C</w:t>
      </w:r>
      <w:r w:rsidRPr="00BC57ED">
        <w:rPr>
          <w:rFonts w:ascii="Times New Roman" w:hAnsi="Times New Roman" w:cs="Times New Roman"/>
          <w:sz w:val="24"/>
          <w:szCs w:val="24"/>
        </w:rPr>
        <w:noBreakHyphen/>
        <w:t xml:space="preserve">493/10, </w:t>
      </w:r>
      <w:r w:rsidRPr="00BC57ED">
        <w:rPr>
          <w:rFonts w:ascii="Times New Roman" w:hAnsi="Times New Roman" w:cs="Times New Roman"/>
          <w:i/>
          <w:sz w:val="24"/>
          <w:szCs w:val="24"/>
        </w:rPr>
        <w:t>N.S and M.E.</w:t>
      </w:r>
    </w:p>
    <w:p w14:paraId="4B52EC32" w14:textId="77777777" w:rsidR="00CA387E" w:rsidRPr="00BC57ED" w:rsidRDefault="00CA387E" w:rsidP="00CA387E">
      <w:pPr>
        <w:pStyle w:val="ListParagraph"/>
        <w:spacing w:after="0"/>
        <w:rPr>
          <w:rFonts w:ascii="Times New Roman" w:hAnsi="Times New Roman" w:cs="Times New Roman"/>
          <w:i/>
          <w:color w:val="19161A"/>
          <w:sz w:val="24"/>
          <w:szCs w:val="24"/>
        </w:rPr>
      </w:pPr>
      <w:r w:rsidRPr="00BC57ED">
        <w:rPr>
          <w:rFonts w:ascii="Times New Roman" w:hAnsi="Times New Roman" w:cs="Times New Roman"/>
          <w:sz w:val="24"/>
          <w:szCs w:val="24"/>
        </w:rPr>
        <w:t>-CJEU 16 February 2017, Case C</w:t>
      </w:r>
      <w:r w:rsidRPr="00BC57ED">
        <w:rPr>
          <w:rFonts w:ascii="Times New Roman" w:hAnsi="Times New Roman" w:cs="Times New Roman"/>
          <w:sz w:val="24"/>
          <w:szCs w:val="24"/>
        </w:rPr>
        <w:noBreakHyphen/>
        <w:t xml:space="preserve">578/16, </w:t>
      </w:r>
      <w:r w:rsidRPr="00BC57ED">
        <w:rPr>
          <w:rFonts w:ascii="Times New Roman" w:hAnsi="Times New Roman" w:cs="Times New Roman"/>
          <w:i/>
          <w:color w:val="19161A"/>
          <w:sz w:val="24"/>
          <w:szCs w:val="24"/>
        </w:rPr>
        <w:t>C.K., H.F and A.S.</w:t>
      </w:r>
    </w:p>
    <w:p w14:paraId="473C1D38" w14:textId="77777777" w:rsidR="00CA387E" w:rsidRPr="00BC57ED" w:rsidRDefault="00CA387E" w:rsidP="00CA387E">
      <w:pPr>
        <w:pStyle w:val="ListParagraph"/>
        <w:numPr>
          <w:ilvl w:val="0"/>
          <w:numId w:val="4"/>
        </w:numPr>
        <w:spacing w:after="0"/>
        <w:rPr>
          <w:rFonts w:ascii="Times New Roman" w:hAnsi="Times New Roman" w:cs="Times New Roman"/>
          <w:i/>
          <w:color w:val="19161A"/>
          <w:sz w:val="24"/>
          <w:szCs w:val="24"/>
        </w:rPr>
      </w:pPr>
      <w:r w:rsidRPr="00BC57ED">
        <w:rPr>
          <w:rFonts w:ascii="Times New Roman" w:hAnsi="Times New Roman" w:cs="Times New Roman"/>
          <w:sz w:val="24"/>
          <w:szCs w:val="24"/>
        </w:rPr>
        <w:t xml:space="preserve">Ciara Smyth, ‘The Dublin Regulation, Mutual Trust and Fundamental Rights: No Exceptionality for Children?’, 2023 </w:t>
      </w:r>
      <w:r w:rsidRPr="00BC57ED">
        <w:rPr>
          <w:rFonts w:ascii="Times New Roman" w:hAnsi="Times New Roman" w:cs="Times New Roman"/>
          <w:i/>
          <w:sz w:val="24"/>
          <w:szCs w:val="24"/>
        </w:rPr>
        <w:t xml:space="preserve">European Law Journal </w:t>
      </w:r>
      <w:r w:rsidRPr="00BC57ED">
        <w:rPr>
          <w:rFonts w:ascii="Times New Roman" w:hAnsi="Times New Roman" w:cs="Times New Roman"/>
          <w:sz w:val="24"/>
          <w:szCs w:val="24"/>
        </w:rPr>
        <w:t xml:space="preserve">28 (4-6), 242-262. Available at: </w:t>
      </w:r>
      <w:hyperlink r:id="rId7" w:history="1">
        <w:r w:rsidRPr="00BC57ED">
          <w:rPr>
            <w:rStyle w:val="Hyperlink"/>
            <w:rFonts w:ascii="Times New Roman" w:hAnsi="Times New Roman" w:cs="Times New Roman"/>
            <w:i/>
            <w:sz w:val="24"/>
            <w:szCs w:val="24"/>
          </w:rPr>
          <w:t>https://onlinelibrary.wiley.com/share/JWTKGTMIUFCW7KXFM5R9?target=10.1111/eulj.12469</w:t>
        </w:r>
      </w:hyperlink>
    </w:p>
    <w:p w14:paraId="6839CC20" w14:textId="77777777" w:rsidR="00CA387E" w:rsidRPr="00BC57ED" w:rsidRDefault="00CA387E" w:rsidP="00CA387E">
      <w:pPr>
        <w:pStyle w:val="ListParagraph"/>
        <w:spacing w:after="0"/>
        <w:rPr>
          <w:rFonts w:ascii="Times New Roman" w:hAnsi="Times New Roman" w:cs="Times New Roman"/>
          <w:i/>
          <w:color w:val="19161A"/>
          <w:sz w:val="24"/>
          <w:szCs w:val="24"/>
        </w:rPr>
      </w:pPr>
    </w:p>
    <w:p w14:paraId="0C58DF37" w14:textId="77777777" w:rsidR="00CA387E" w:rsidRPr="00BC57ED" w:rsidRDefault="00CA387E" w:rsidP="00CA387E">
      <w:pPr>
        <w:spacing w:after="0"/>
        <w:rPr>
          <w:rFonts w:ascii="Times New Roman" w:hAnsi="Times New Roman" w:cs="Times New Roman"/>
          <w:bCs/>
          <w:sz w:val="24"/>
          <w:szCs w:val="24"/>
        </w:rPr>
      </w:pPr>
    </w:p>
    <w:p w14:paraId="4877F08F" w14:textId="77777777" w:rsidR="00CA387E" w:rsidRPr="00BC57ED" w:rsidRDefault="00CA387E" w:rsidP="00CA387E">
      <w:pPr>
        <w:spacing w:after="0"/>
        <w:rPr>
          <w:rFonts w:ascii="Times New Roman" w:eastAsia="Times New Roman" w:hAnsi="Times New Roman" w:cs="Times New Roman"/>
          <w:b/>
          <w:sz w:val="24"/>
          <w:szCs w:val="24"/>
          <w:lang w:eastAsia="en-IE"/>
        </w:rPr>
      </w:pPr>
      <w:r w:rsidRPr="00BC57ED">
        <w:rPr>
          <w:rFonts w:ascii="Times New Roman" w:hAnsi="Times New Roman" w:cs="Times New Roman"/>
          <w:b/>
          <w:bCs/>
          <w:sz w:val="24"/>
          <w:szCs w:val="24"/>
          <w:u w:val="single"/>
        </w:rPr>
        <w:t>Seminar 4 – The response to the 2015 ‘refugee crisis’ and the 2022 Ukrainian crisis compared</w:t>
      </w:r>
    </w:p>
    <w:p w14:paraId="3C5484E7" w14:textId="77777777" w:rsidR="00CA387E" w:rsidRPr="00BC57ED" w:rsidRDefault="00CA387E" w:rsidP="00CA387E">
      <w:pPr>
        <w:pStyle w:val="ListParagraph"/>
        <w:numPr>
          <w:ilvl w:val="0"/>
          <w:numId w:val="4"/>
        </w:numPr>
        <w:shd w:val="clear" w:color="auto" w:fill="FFFFFF"/>
        <w:spacing w:after="75"/>
        <w:rPr>
          <w:rFonts w:ascii="Times New Roman" w:hAnsi="Times New Roman" w:cs="Times New Roman"/>
          <w:color w:val="333333"/>
          <w:sz w:val="24"/>
          <w:szCs w:val="24"/>
        </w:rPr>
      </w:pPr>
      <w:r w:rsidRPr="00BC57ED">
        <w:rPr>
          <w:rFonts w:ascii="Times New Roman" w:eastAsiaTheme="minorHAnsi" w:hAnsi="Times New Roman" w:cs="Times New Roman"/>
          <w:bCs/>
          <w:sz w:val="24"/>
          <w:szCs w:val="24"/>
          <w:lang w:eastAsia="en-US"/>
        </w:rPr>
        <w:t>Do a close reading of the text of the Temporary Protection Directive and compare it with the pending Regulation Addressing Situations of Crisis and Force Majeure</w:t>
      </w:r>
    </w:p>
    <w:p w14:paraId="117B5B6D" w14:textId="77777777" w:rsidR="00CA387E" w:rsidRPr="00BC57ED" w:rsidRDefault="00CA387E" w:rsidP="00CA387E">
      <w:pPr>
        <w:pStyle w:val="ListParagraph"/>
        <w:numPr>
          <w:ilvl w:val="0"/>
          <w:numId w:val="5"/>
        </w:numPr>
        <w:autoSpaceDE w:val="0"/>
        <w:autoSpaceDN w:val="0"/>
        <w:adjustRightInd w:val="0"/>
        <w:spacing w:after="0"/>
        <w:rPr>
          <w:rFonts w:ascii="Times New Roman" w:eastAsiaTheme="minorHAnsi" w:hAnsi="Times New Roman" w:cs="Times New Roman"/>
          <w:bCs/>
          <w:i/>
          <w:sz w:val="24"/>
          <w:szCs w:val="24"/>
          <w:lang w:eastAsia="en-US"/>
        </w:rPr>
      </w:pPr>
      <w:r w:rsidRPr="00BC57ED">
        <w:rPr>
          <w:rFonts w:ascii="Times New Roman" w:hAnsi="Times New Roman" w:cs="Times New Roman"/>
          <w:sz w:val="24"/>
          <w:szCs w:val="24"/>
        </w:rPr>
        <w:t>Iris Goldner Lang, ‘</w:t>
      </w:r>
      <w:r w:rsidRPr="00BC57ED">
        <w:rPr>
          <w:rFonts w:ascii="Times New Roman" w:eastAsiaTheme="minorHAnsi" w:hAnsi="Times New Roman" w:cs="Times New Roman"/>
          <w:bCs/>
          <w:sz w:val="24"/>
          <w:szCs w:val="24"/>
          <w:lang w:eastAsia="en-US"/>
        </w:rPr>
        <w:t>No Solidarity without Loyalty: Why Do Member States Violate EU Migration and Asylum Law and What Can Be Done?’</w:t>
      </w:r>
      <w:r w:rsidRPr="00BC57ED">
        <w:rPr>
          <w:rFonts w:ascii="Times New Roman" w:eastAsia="Brill-Roman" w:hAnsi="Times New Roman" w:cs="Times New Roman"/>
          <w:sz w:val="24"/>
          <w:szCs w:val="24"/>
          <w:lang w:eastAsia="en-US"/>
        </w:rPr>
        <w:t xml:space="preserve"> </w:t>
      </w:r>
      <w:r w:rsidRPr="00BC57ED">
        <w:rPr>
          <w:rFonts w:ascii="Times New Roman" w:eastAsia="Brill-Roman" w:hAnsi="Times New Roman" w:cs="Times New Roman"/>
          <w:i/>
          <w:sz w:val="24"/>
          <w:szCs w:val="24"/>
          <w:lang w:eastAsia="en-US"/>
        </w:rPr>
        <w:t>European Journal of Migration and Law</w:t>
      </w:r>
      <w:r w:rsidRPr="00BC57ED">
        <w:rPr>
          <w:rFonts w:ascii="Times New Roman" w:eastAsia="Brill-Roman" w:hAnsi="Times New Roman" w:cs="Times New Roman"/>
          <w:sz w:val="24"/>
          <w:szCs w:val="24"/>
          <w:lang w:eastAsia="en-US"/>
        </w:rPr>
        <w:t xml:space="preserve"> 22 (2020) 39–59.</w:t>
      </w:r>
    </w:p>
    <w:p w14:paraId="446F1F57" w14:textId="77777777" w:rsidR="00CA387E" w:rsidRPr="00BC57ED" w:rsidRDefault="00CA387E" w:rsidP="00CA387E">
      <w:pPr>
        <w:pStyle w:val="ListParagraph"/>
        <w:numPr>
          <w:ilvl w:val="0"/>
          <w:numId w:val="5"/>
        </w:numPr>
        <w:spacing w:after="0"/>
        <w:rPr>
          <w:rFonts w:ascii="Times New Roman" w:eastAsia="Brill-Roman" w:hAnsi="Times New Roman" w:cs="Times New Roman"/>
          <w:sz w:val="24"/>
          <w:szCs w:val="24"/>
          <w:lang w:eastAsia="en-US"/>
        </w:rPr>
      </w:pPr>
      <w:r w:rsidRPr="00BC57ED">
        <w:rPr>
          <w:rStyle w:val="Hyperlink"/>
          <w:rFonts w:ascii="Times New Roman" w:hAnsi="Times New Roman" w:cs="Times New Roman"/>
          <w:color w:val="auto"/>
          <w:sz w:val="24"/>
          <w:szCs w:val="24"/>
          <w:u w:val="none"/>
        </w:rPr>
        <w:t xml:space="preserve">John Koo, ‘Mass Influxes and Protection in Europe: A Reflection on a Temporary Episode of an Enduring Problem’, </w:t>
      </w:r>
      <w:r w:rsidRPr="00BC57ED">
        <w:rPr>
          <w:rFonts w:ascii="Times New Roman" w:eastAsia="Brill-Roman" w:hAnsi="Times New Roman" w:cs="Times New Roman"/>
          <w:i/>
          <w:sz w:val="24"/>
          <w:szCs w:val="24"/>
          <w:lang w:eastAsia="en-US"/>
        </w:rPr>
        <w:t>European Journal of Migration and Law</w:t>
      </w:r>
      <w:r w:rsidRPr="00BC57ED">
        <w:rPr>
          <w:rFonts w:ascii="Times New Roman" w:eastAsia="Brill-Roman" w:hAnsi="Times New Roman" w:cs="Times New Roman"/>
          <w:sz w:val="24"/>
          <w:szCs w:val="24"/>
          <w:lang w:eastAsia="en-US"/>
        </w:rPr>
        <w:t xml:space="preserve"> 20 (2018) 157–181.</w:t>
      </w:r>
    </w:p>
    <w:p w14:paraId="76123607" w14:textId="77777777" w:rsidR="00CA387E" w:rsidRPr="00BC57ED" w:rsidRDefault="00CA387E" w:rsidP="00CA387E">
      <w:pPr>
        <w:pStyle w:val="ListParagraph"/>
        <w:numPr>
          <w:ilvl w:val="0"/>
          <w:numId w:val="5"/>
        </w:numPr>
        <w:spacing w:after="0"/>
        <w:rPr>
          <w:rStyle w:val="Hyperlink"/>
          <w:rFonts w:ascii="Times New Roman" w:eastAsia="Brill-Roman" w:hAnsi="Times New Roman" w:cs="Times New Roman"/>
          <w:color w:val="auto"/>
          <w:sz w:val="24"/>
          <w:szCs w:val="24"/>
          <w:u w:val="none"/>
          <w:lang w:eastAsia="en-US"/>
        </w:rPr>
      </w:pPr>
      <w:r w:rsidRPr="00BC57ED">
        <w:rPr>
          <w:rFonts w:ascii="Times New Roman" w:hAnsi="Times New Roman" w:cs="Times New Roman"/>
          <w:iCs/>
          <w:sz w:val="24"/>
          <w:szCs w:val="24"/>
        </w:rPr>
        <w:t>Esin Küçük,</w:t>
      </w:r>
      <w:r w:rsidRPr="00BC57ED">
        <w:rPr>
          <w:rFonts w:ascii="Times New Roman" w:hAnsi="Times New Roman" w:cs="Times New Roman"/>
          <w:i/>
          <w:iCs/>
          <w:sz w:val="24"/>
          <w:szCs w:val="24"/>
        </w:rPr>
        <w:t xml:space="preserve"> ‘</w:t>
      </w:r>
      <w:r w:rsidRPr="00BC57ED">
        <w:rPr>
          <w:rFonts w:ascii="Times New Roman" w:hAnsi="Times New Roman" w:cs="Times New Roman"/>
          <w:sz w:val="24"/>
          <w:szCs w:val="24"/>
        </w:rPr>
        <w:t xml:space="preserve"> </w:t>
      </w:r>
      <w:r w:rsidRPr="00BC57ED">
        <w:rPr>
          <w:rFonts w:ascii="Times New Roman" w:hAnsi="Times New Roman" w:cs="Times New Roman"/>
          <w:bCs/>
          <w:sz w:val="24"/>
          <w:szCs w:val="24"/>
        </w:rPr>
        <w:t xml:space="preserve">Temporary Protection Directive: Testing New Frontiers?’, </w:t>
      </w:r>
      <w:r w:rsidRPr="00BC57ED">
        <w:rPr>
          <w:rFonts w:ascii="Times New Roman" w:hAnsi="Times New Roman" w:cs="Times New Roman"/>
          <w:i/>
          <w:sz w:val="24"/>
          <w:szCs w:val="24"/>
        </w:rPr>
        <w:t>European Journal of Migration and Law</w:t>
      </w:r>
      <w:r w:rsidRPr="00BC57ED">
        <w:rPr>
          <w:rFonts w:ascii="Times New Roman" w:hAnsi="Times New Roman" w:cs="Times New Roman"/>
          <w:sz w:val="24"/>
          <w:szCs w:val="24"/>
        </w:rPr>
        <w:t xml:space="preserve"> 25 (2023) 1–30.</w:t>
      </w:r>
    </w:p>
    <w:p w14:paraId="33AF9A30" w14:textId="77777777" w:rsidR="00CA387E" w:rsidRPr="00BC57ED" w:rsidRDefault="00CA387E" w:rsidP="00CA387E">
      <w:pPr>
        <w:pStyle w:val="ListParagraph"/>
        <w:spacing w:after="0"/>
        <w:rPr>
          <w:rFonts w:ascii="Times New Roman" w:hAnsi="Times New Roman" w:cs="Times New Roman"/>
          <w:sz w:val="24"/>
          <w:szCs w:val="24"/>
        </w:rPr>
      </w:pPr>
    </w:p>
    <w:p w14:paraId="72BAEFC9" w14:textId="77777777" w:rsidR="00CA387E" w:rsidRPr="00BC57ED" w:rsidRDefault="00CA387E" w:rsidP="00CA387E">
      <w:pPr>
        <w:pStyle w:val="ListParagraph"/>
        <w:spacing w:after="0"/>
        <w:rPr>
          <w:rFonts w:ascii="Times New Roman" w:hAnsi="Times New Roman" w:cs="Times New Roman"/>
          <w:sz w:val="24"/>
          <w:szCs w:val="24"/>
        </w:rPr>
      </w:pPr>
    </w:p>
    <w:p w14:paraId="088DF5BF" w14:textId="77777777" w:rsidR="00CA387E" w:rsidRPr="00BC57ED" w:rsidRDefault="00CA387E" w:rsidP="00CA387E">
      <w:pPr>
        <w:spacing w:after="0"/>
        <w:rPr>
          <w:rFonts w:ascii="Times New Roman" w:hAnsi="Times New Roman" w:cs="Times New Roman"/>
          <w:b/>
          <w:sz w:val="24"/>
          <w:szCs w:val="24"/>
        </w:rPr>
      </w:pPr>
      <w:r w:rsidRPr="00BC57ED">
        <w:rPr>
          <w:rFonts w:ascii="Times New Roman" w:hAnsi="Times New Roman" w:cs="Times New Roman"/>
          <w:b/>
          <w:sz w:val="24"/>
          <w:szCs w:val="24"/>
        </w:rPr>
        <w:t>USEFUL SOURCES OF INFORMATION AND ANALYSIS</w:t>
      </w:r>
    </w:p>
    <w:p w14:paraId="49196073" w14:textId="77777777" w:rsidR="00CA387E" w:rsidRPr="00BC57ED" w:rsidRDefault="00CA387E" w:rsidP="00CA387E">
      <w:pPr>
        <w:spacing w:after="0"/>
        <w:rPr>
          <w:rFonts w:ascii="Times New Roman" w:hAnsi="Times New Roman" w:cs="Times New Roman"/>
          <w:sz w:val="24"/>
          <w:szCs w:val="24"/>
        </w:rPr>
      </w:pPr>
    </w:p>
    <w:p w14:paraId="6D96013A" w14:textId="77777777" w:rsidR="00CA387E" w:rsidRPr="00BC57ED" w:rsidRDefault="00CA387E" w:rsidP="00CA387E">
      <w:pPr>
        <w:rPr>
          <w:rFonts w:ascii="Times New Roman" w:hAnsi="Times New Roman" w:cs="Times New Roman"/>
          <w:b/>
          <w:sz w:val="24"/>
          <w:szCs w:val="24"/>
          <w:u w:val="single"/>
        </w:rPr>
      </w:pPr>
      <w:r w:rsidRPr="00BC57ED">
        <w:rPr>
          <w:rFonts w:ascii="Times New Roman" w:hAnsi="Times New Roman" w:cs="Times New Roman"/>
          <w:b/>
          <w:bCs/>
          <w:sz w:val="24"/>
          <w:szCs w:val="24"/>
          <w:u w:val="single"/>
        </w:rPr>
        <w:t xml:space="preserve">Journals </w:t>
      </w:r>
    </w:p>
    <w:p w14:paraId="2EBA0C07" w14:textId="77777777" w:rsidR="00CA387E" w:rsidRPr="00BC57ED" w:rsidRDefault="00CA387E" w:rsidP="00CA387E">
      <w:pPr>
        <w:widowControl w:val="0"/>
        <w:autoSpaceDE w:val="0"/>
        <w:autoSpaceDN w:val="0"/>
        <w:ind w:right="6120"/>
        <w:rPr>
          <w:rFonts w:ascii="Times New Roman" w:hAnsi="Times New Roman" w:cs="Times New Roman"/>
          <w:sz w:val="24"/>
          <w:szCs w:val="24"/>
        </w:rPr>
      </w:pPr>
      <w:r w:rsidRPr="00BC57ED">
        <w:rPr>
          <w:rFonts w:ascii="Times New Roman" w:hAnsi="Times New Roman" w:cs="Times New Roman"/>
          <w:spacing w:val="-2"/>
          <w:sz w:val="24"/>
          <w:szCs w:val="24"/>
        </w:rPr>
        <w:t>The principal journals are:</w:t>
      </w:r>
    </w:p>
    <w:p w14:paraId="326C290F"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European Journal of Migration and Law</w:t>
      </w:r>
    </w:p>
    <w:p w14:paraId="7A6FE6FB" w14:textId="77777777" w:rsidR="00CA387E" w:rsidRPr="00BC57ED" w:rsidRDefault="00CA387E" w:rsidP="00CA387E">
      <w:pPr>
        <w:rPr>
          <w:rStyle w:val="Emphasis"/>
          <w:rFonts w:ascii="Times New Roman" w:hAnsi="Times New Roman" w:cs="Times New Roman"/>
          <w:sz w:val="24"/>
          <w:szCs w:val="24"/>
        </w:rPr>
      </w:pPr>
      <w:r w:rsidRPr="00BC57ED">
        <w:rPr>
          <w:rStyle w:val="Emphasis"/>
          <w:rFonts w:ascii="Times New Roman" w:hAnsi="Times New Roman" w:cs="Times New Roman"/>
          <w:sz w:val="24"/>
          <w:szCs w:val="24"/>
        </w:rPr>
        <w:t>International Journal</w:t>
      </w:r>
      <w:r w:rsidRPr="00BC57ED">
        <w:rPr>
          <w:rFonts w:ascii="Times New Roman" w:hAnsi="Times New Roman" w:cs="Times New Roman"/>
          <w:sz w:val="24"/>
          <w:szCs w:val="24"/>
        </w:rPr>
        <w:t xml:space="preserve"> of </w:t>
      </w:r>
      <w:r w:rsidRPr="00BC57ED">
        <w:rPr>
          <w:rStyle w:val="Emphasis"/>
          <w:rFonts w:ascii="Times New Roman" w:hAnsi="Times New Roman" w:cs="Times New Roman"/>
          <w:sz w:val="24"/>
          <w:szCs w:val="24"/>
        </w:rPr>
        <w:t>Refugee Law</w:t>
      </w:r>
    </w:p>
    <w:p w14:paraId="31FD36C7" w14:textId="77777777" w:rsidR="00CA387E" w:rsidRPr="00BC57ED" w:rsidRDefault="00CA387E" w:rsidP="00CA387E">
      <w:pPr>
        <w:rPr>
          <w:rStyle w:val="Emphasis"/>
          <w:rFonts w:ascii="Times New Roman" w:hAnsi="Times New Roman" w:cs="Times New Roman"/>
          <w:sz w:val="24"/>
          <w:szCs w:val="24"/>
        </w:rPr>
      </w:pPr>
      <w:r w:rsidRPr="00BC57ED">
        <w:rPr>
          <w:rStyle w:val="Emphasis"/>
          <w:rFonts w:ascii="Times New Roman" w:hAnsi="Times New Roman" w:cs="Times New Roman"/>
          <w:sz w:val="24"/>
          <w:szCs w:val="24"/>
        </w:rPr>
        <w:t>Journal of Refugee Studies</w:t>
      </w:r>
    </w:p>
    <w:p w14:paraId="5A2B330E" w14:textId="77777777" w:rsidR="00CA387E" w:rsidRPr="00BC57ED" w:rsidRDefault="00CA387E" w:rsidP="00CA387E">
      <w:pPr>
        <w:rPr>
          <w:rStyle w:val="Emphasis"/>
          <w:rFonts w:ascii="Times New Roman" w:hAnsi="Times New Roman" w:cs="Times New Roman"/>
          <w:sz w:val="24"/>
          <w:szCs w:val="24"/>
        </w:rPr>
      </w:pPr>
      <w:r w:rsidRPr="00BC57ED">
        <w:rPr>
          <w:rStyle w:val="Emphasis"/>
          <w:rFonts w:ascii="Times New Roman" w:hAnsi="Times New Roman" w:cs="Times New Roman"/>
          <w:sz w:val="24"/>
          <w:szCs w:val="24"/>
        </w:rPr>
        <w:t>Refugee Survey Quarterly</w:t>
      </w:r>
    </w:p>
    <w:p w14:paraId="465273DB" w14:textId="77777777" w:rsidR="00CA387E" w:rsidRPr="00BC57ED" w:rsidRDefault="00CA387E" w:rsidP="00CA387E">
      <w:pPr>
        <w:tabs>
          <w:tab w:val="left" w:pos="8025"/>
        </w:tabs>
        <w:rPr>
          <w:rStyle w:val="Emphasis"/>
          <w:rFonts w:ascii="Times New Roman" w:hAnsi="Times New Roman" w:cs="Times New Roman"/>
          <w:i w:val="0"/>
          <w:iCs w:val="0"/>
          <w:sz w:val="24"/>
          <w:szCs w:val="24"/>
          <w:u w:val="single"/>
        </w:rPr>
      </w:pPr>
    </w:p>
    <w:p w14:paraId="6433753E" w14:textId="77777777" w:rsidR="00CA387E" w:rsidRPr="00BC57ED" w:rsidRDefault="00CA387E" w:rsidP="00CA387E">
      <w:pPr>
        <w:rPr>
          <w:rFonts w:ascii="Times New Roman" w:hAnsi="Times New Roman" w:cs="Times New Roman"/>
          <w:iCs/>
          <w:sz w:val="24"/>
          <w:szCs w:val="24"/>
        </w:rPr>
      </w:pPr>
      <w:r w:rsidRPr="00BC57ED">
        <w:rPr>
          <w:rFonts w:ascii="Times New Roman" w:hAnsi="Times New Roman" w:cs="Times New Roman"/>
          <w:iCs/>
          <w:sz w:val="24"/>
          <w:szCs w:val="24"/>
        </w:rPr>
        <w:t>Other relevant journals include:</w:t>
      </w:r>
    </w:p>
    <w:p w14:paraId="2525BFD0"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lastRenderedPageBreak/>
        <w:t>Common Market Law Review</w:t>
      </w:r>
    </w:p>
    <w:p w14:paraId="343C64CE"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European Law Journal</w:t>
      </w:r>
    </w:p>
    <w:p w14:paraId="0BF40F4D"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 xml:space="preserve">European Journal of International Law </w:t>
      </w:r>
    </w:p>
    <w:p w14:paraId="2CFBB5FF"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Human Rights Law Review</w:t>
      </w:r>
    </w:p>
    <w:p w14:paraId="4F81B3E1"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Human Rights Quarterly</w:t>
      </w:r>
    </w:p>
    <w:p w14:paraId="3DDE9A14"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International &amp; Comparative Law Quarterly</w:t>
      </w:r>
    </w:p>
    <w:p w14:paraId="1FC9B4DA" w14:textId="77777777" w:rsidR="00CA387E" w:rsidRPr="00BC57ED" w:rsidRDefault="00CA387E" w:rsidP="00CA387E">
      <w:pPr>
        <w:ind w:right="3672"/>
        <w:rPr>
          <w:rFonts w:ascii="Times New Roman" w:hAnsi="Times New Roman" w:cs="Times New Roman"/>
          <w:i/>
          <w:iCs/>
          <w:sz w:val="24"/>
          <w:szCs w:val="24"/>
        </w:rPr>
      </w:pPr>
      <w:r w:rsidRPr="00BC57ED">
        <w:rPr>
          <w:rFonts w:ascii="Times New Roman" w:hAnsi="Times New Roman" w:cs="Times New Roman"/>
          <w:i/>
          <w:iCs/>
          <w:spacing w:val="-2"/>
          <w:sz w:val="24"/>
          <w:szCs w:val="24"/>
        </w:rPr>
        <w:t xml:space="preserve">International Journal of Minorities &amp; Group Rights </w:t>
      </w:r>
      <w:r w:rsidRPr="00BC57ED">
        <w:rPr>
          <w:rFonts w:ascii="Times New Roman" w:hAnsi="Times New Roman" w:cs="Times New Roman"/>
          <w:i/>
          <w:iCs/>
          <w:sz w:val="24"/>
          <w:szCs w:val="24"/>
        </w:rPr>
        <w:t>Law &amp; Contemporary Problems</w:t>
      </w:r>
    </w:p>
    <w:p w14:paraId="182BE2E5" w14:textId="77777777" w:rsidR="00CA387E" w:rsidRPr="00BC57ED" w:rsidRDefault="00CA387E" w:rsidP="00CA387E">
      <w:pPr>
        <w:rPr>
          <w:rStyle w:val="Emphasis"/>
          <w:rFonts w:ascii="Times New Roman" w:hAnsi="Times New Roman" w:cs="Times New Roman"/>
          <w:sz w:val="24"/>
          <w:szCs w:val="24"/>
        </w:rPr>
      </w:pPr>
      <w:r w:rsidRPr="00BC57ED">
        <w:rPr>
          <w:rStyle w:val="Emphasis"/>
          <w:rFonts w:ascii="Times New Roman" w:hAnsi="Times New Roman" w:cs="Times New Roman"/>
          <w:sz w:val="24"/>
          <w:szCs w:val="24"/>
        </w:rPr>
        <w:t xml:space="preserve">Leiden Journal of International Law </w:t>
      </w:r>
    </w:p>
    <w:p w14:paraId="66AC1A8B"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Netherlands Quarterly of Human Rights</w:t>
      </w:r>
    </w:p>
    <w:p w14:paraId="73833EE7"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
          <w:iCs/>
          <w:sz w:val="24"/>
          <w:szCs w:val="24"/>
        </w:rPr>
        <w:t>Nordic Journal of International Law</w:t>
      </w:r>
    </w:p>
    <w:p w14:paraId="0D112027" w14:textId="77777777" w:rsidR="00CA387E" w:rsidRPr="00BC57ED" w:rsidRDefault="00CA387E" w:rsidP="00CA387E">
      <w:pPr>
        <w:ind w:right="72"/>
        <w:rPr>
          <w:rFonts w:ascii="Times New Roman" w:hAnsi="Times New Roman" w:cs="Times New Roman"/>
          <w:sz w:val="24"/>
          <w:szCs w:val="24"/>
        </w:rPr>
      </w:pPr>
      <w:r w:rsidRPr="00BC57ED">
        <w:rPr>
          <w:rFonts w:ascii="Times New Roman" w:hAnsi="Times New Roman" w:cs="Times New Roman"/>
          <w:sz w:val="24"/>
          <w:szCs w:val="24"/>
        </w:rPr>
        <w:t>Most of these periodicals are available in the university library. The collection is supplemented with on-line journals available through J-Store and Hein On-Line, to which all registered students have access via the library website.</w:t>
      </w:r>
    </w:p>
    <w:p w14:paraId="650B31F0" w14:textId="77777777" w:rsidR="00CA387E" w:rsidRPr="00BC57ED" w:rsidRDefault="00CA387E" w:rsidP="00CA387E">
      <w:pPr>
        <w:rPr>
          <w:rFonts w:ascii="Times New Roman" w:hAnsi="Times New Roman" w:cs="Times New Roman"/>
          <w:i/>
          <w:iCs/>
          <w:sz w:val="24"/>
          <w:szCs w:val="24"/>
        </w:rPr>
      </w:pPr>
    </w:p>
    <w:p w14:paraId="79879FBF" w14:textId="77777777" w:rsidR="00CA387E" w:rsidRPr="00BC57ED" w:rsidRDefault="00CA387E" w:rsidP="00CA387E">
      <w:pPr>
        <w:rPr>
          <w:rFonts w:ascii="Times New Roman" w:hAnsi="Times New Roman" w:cs="Times New Roman"/>
          <w:b/>
          <w:iCs/>
          <w:sz w:val="24"/>
          <w:szCs w:val="24"/>
          <w:u w:val="single"/>
        </w:rPr>
      </w:pPr>
      <w:r w:rsidRPr="00BC57ED">
        <w:rPr>
          <w:rFonts w:ascii="Times New Roman" w:hAnsi="Times New Roman" w:cs="Times New Roman"/>
          <w:b/>
          <w:iCs/>
          <w:sz w:val="24"/>
          <w:szCs w:val="24"/>
          <w:u w:val="single"/>
        </w:rPr>
        <w:t>Useful websites</w:t>
      </w:r>
    </w:p>
    <w:p w14:paraId="6308613D" w14:textId="77777777" w:rsidR="00CA387E" w:rsidRPr="00BC57ED" w:rsidRDefault="00CA387E" w:rsidP="00CA387E">
      <w:pPr>
        <w:tabs>
          <w:tab w:val="left" w:pos="8025"/>
        </w:tabs>
        <w:rPr>
          <w:rFonts w:ascii="Times New Roman" w:hAnsi="Times New Roman" w:cs="Times New Roman"/>
          <w:i/>
          <w:iCs/>
          <w:sz w:val="24"/>
          <w:szCs w:val="24"/>
        </w:rPr>
      </w:pPr>
      <w:r w:rsidRPr="00BC57ED">
        <w:rPr>
          <w:rStyle w:val="Emphasis"/>
          <w:rFonts w:ascii="Times New Roman" w:hAnsi="Times New Roman" w:cs="Times New Roman"/>
          <w:sz w:val="24"/>
          <w:szCs w:val="24"/>
        </w:rPr>
        <w:t xml:space="preserve">Newsletter on European Asylum Issues for Judges: </w:t>
      </w:r>
      <w:hyperlink r:id="rId8" w:history="1">
        <w:r w:rsidRPr="00BC57ED">
          <w:rPr>
            <w:rStyle w:val="Hyperlink"/>
            <w:rFonts w:ascii="Times New Roman" w:hAnsi="Times New Roman" w:cs="Times New Roman"/>
            <w:sz w:val="24"/>
            <w:szCs w:val="24"/>
          </w:rPr>
          <w:t>https://cmr.jur.ru.nl/neais/</w:t>
        </w:r>
      </w:hyperlink>
    </w:p>
    <w:p w14:paraId="53874EEE"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Cs/>
          <w:sz w:val="24"/>
          <w:szCs w:val="24"/>
        </w:rPr>
        <w:t>European Commission, Migration and Home Affairs:</w:t>
      </w:r>
      <w:r w:rsidRPr="00BC57ED">
        <w:rPr>
          <w:rFonts w:ascii="Times New Roman" w:hAnsi="Times New Roman" w:cs="Times New Roman"/>
          <w:i/>
          <w:iCs/>
          <w:sz w:val="24"/>
          <w:szCs w:val="24"/>
        </w:rPr>
        <w:t xml:space="preserve"> </w:t>
      </w:r>
      <w:hyperlink r:id="rId9" w:history="1">
        <w:r w:rsidRPr="00BC57ED">
          <w:rPr>
            <w:rStyle w:val="Hyperlink"/>
            <w:rFonts w:ascii="Times New Roman" w:hAnsi="Times New Roman" w:cs="Times New Roman"/>
            <w:i/>
            <w:iCs/>
            <w:sz w:val="24"/>
            <w:szCs w:val="24"/>
          </w:rPr>
          <w:t>https://home-affairs.ec.europa.eu/policies/migration-and-asylum/common-european-asylum-system_en</w:t>
        </w:r>
      </w:hyperlink>
    </w:p>
    <w:p w14:paraId="08EBDE46"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Cs/>
          <w:sz w:val="24"/>
          <w:szCs w:val="24"/>
        </w:rPr>
        <w:t>EU Agency for Asylum (EUAA)</w:t>
      </w:r>
      <w:r w:rsidRPr="00BC57ED">
        <w:rPr>
          <w:rFonts w:ascii="Times New Roman" w:hAnsi="Times New Roman" w:cs="Times New Roman"/>
          <w:i/>
          <w:iCs/>
          <w:sz w:val="24"/>
          <w:szCs w:val="24"/>
        </w:rPr>
        <w:t xml:space="preserve"> (formerly European Asylum Support Office (EASO): </w:t>
      </w:r>
      <w:hyperlink r:id="rId10" w:history="1">
        <w:r w:rsidRPr="00BC57ED">
          <w:rPr>
            <w:rStyle w:val="Hyperlink"/>
            <w:rFonts w:ascii="Times New Roman" w:hAnsi="Times New Roman" w:cs="Times New Roman"/>
            <w:i/>
            <w:iCs/>
            <w:sz w:val="24"/>
            <w:szCs w:val="24"/>
          </w:rPr>
          <w:t>https://euaa.europa.eu/about-us</w:t>
        </w:r>
      </w:hyperlink>
    </w:p>
    <w:p w14:paraId="5BBAE6CA" w14:textId="77777777" w:rsidR="00CA387E" w:rsidRPr="00BC57ED" w:rsidRDefault="00CA387E" w:rsidP="00CA387E">
      <w:pPr>
        <w:rPr>
          <w:rFonts w:ascii="Times New Roman" w:hAnsi="Times New Roman" w:cs="Times New Roman"/>
          <w:iCs/>
          <w:sz w:val="24"/>
          <w:szCs w:val="24"/>
        </w:rPr>
      </w:pPr>
      <w:r w:rsidRPr="00BC57ED">
        <w:rPr>
          <w:rFonts w:ascii="Times New Roman" w:hAnsi="Times New Roman" w:cs="Times New Roman"/>
          <w:iCs/>
          <w:sz w:val="24"/>
          <w:szCs w:val="24"/>
        </w:rPr>
        <w:t>European Union Agency for Fundamental Rights (FRA)</w:t>
      </w:r>
      <w:r w:rsidRPr="00BC57ED">
        <w:rPr>
          <w:rFonts w:ascii="Times New Roman" w:hAnsi="Times New Roman" w:cs="Times New Roman"/>
          <w:i/>
          <w:iCs/>
          <w:sz w:val="24"/>
          <w:szCs w:val="24"/>
        </w:rPr>
        <w:t xml:space="preserve">: </w:t>
      </w:r>
      <w:hyperlink r:id="rId11" w:history="1">
        <w:r w:rsidRPr="00BC57ED">
          <w:rPr>
            <w:rStyle w:val="Hyperlink"/>
            <w:rFonts w:ascii="Times New Roman" w:hAnsi="Times New Roman" w:cs="Times New Roman"/>
            <w:i/>
            <w:iCs/>
            <w:sz w:val="24"/>
            <w:szCs w:val="24"/>
          </w:rPr>
          <w:t>https://fra.europa.eu/en</w:t>
        </w:r>
      </w:hyperlink>
      <w:r w:rsidRPr="00BC57ED">
        <w:rPr>
          <w:rFonts w:ascii="Times New Roman" w:hAnsi="Times New Roman" w:cs="Times New Roman"/>
          <w:iCs/>
          <w:sz w:val="24"/>
          <w:szCs w:val="24"/>
        </w:rPr>
        <w:t xml:space="preserve"> </w:t>
      </w:r>
    </w:p>
    <w:p w14:paraId="2C34B88A" w14:textId="77777777" w:rsidR="00CA387E" w:rsidRPr="00BC57ED" w:rsidRDefault="00CA387E" w:rsidP="00CA387E">
      <w:pPr>
        <w:rPr>
          <w:rStyle w:val="Hyperlink"/>
          <w:rFonts w:ascii="Times New Roman" w:hAnsi="Times New Roman" w:cs="Times New Roman"/>
          <w:iCs/>
          <w:sz w:val="24"/>
          <w:szCs w:val="24"/>
        </w:rPr>
      </w:pPr>
      <w:r w:rsidRPr="00BC57ED">
        <w:rPr>
          <w:rFonts w:ascii="Times New Roman" w:hAnsi="Times New Roman" w:cs="Times New Roman"/>
          <w:iCs/>
          <w:sz w:val="24"/>
          <w:szCs w:val="24"/>
        </w:rPr>
        <w:t xml:space="preserve">EUROSTAT: </w:t>
      </w:r>
      <w:hyperlink r:id="rId12" w:history="1">
        <w:r w:rsidRPr="00BC57ED">
          <w:rPr>
            <w:rStyle w:val="Hyperlink"/>
            <w:rFonts w:ascii="Times New Roman" w:hAnsi="Times New Roman" w:cs="Times New Roman"/>
            <w:iCs/>
            <w:sz w:val="24"/>
            <w:szCs w:val="24"/>
          </w:rPr>
          <w:t>https://ec.europa.eu/eurostat</w:t>
        </w:r>
      </w:hyperlink>
    </w:p>
    <w:p w14:paraId="7D9841D9" w14:textId="77777777" w:rsidR="00CA387E" w:rsidRPr="00BC57ED" w:rsidRDefault="00CA387E" w:rsidP="00CA387E">
      <w:pPr>
        <w:rPr>
          <w:rFonts w:ascii="Times New Roman" w:hAnsi="Times New Roman" w:cs="Times New Roman"/>
          <w:sz w:val="24"/>
          <w:szCs w:val="24"/>
        </w:rPr>
      </w:pPr>
      <w:r w:rsidRPr="00BC57ED">
        <w:rPr>
          <w:rFonts w:ascii="Times New Roman" w:hAnsi="Times New Roman" w:cs="Times New Roman"/>
          <w:sz w:val="24"/>
          <w:szCs w:val="24"/>
        </w:rPr>
        <w:t xml:space="preserve">EDAL – European Database on Asylum Law: </w:t>
      </w:r>
      <w:hyperlink r:id="rId13" w:history="1">
        <w:r w:rsidRPr="00BC57ED">
          <w:rPr>
            <w:rStyle w:val="Hyperlink"/>
            <w:rFonts w:ascii="Times New Roman" w:hAnsi="Times New Roman" w:cs="Times New Roman"/>
            <w:sz w:val="24"/>
            <w:szCs w:val="24"/>
          </w:rPr>
          <w:t>https://www.asylumlawdatabase.eu/en</w:t>
        </w:r>
      </w:hyperlink>
    </w:p>
    <w:p w14:paraId="5523191E" w14:textId="77777777" w:rsidR="00CA387E" w:rsidRPr="00BC57ED" w:rsidRDefault="00CA387E" w:rsidP="00CA387E">
      <w:pPr>
        <w:rPr>
          <w:rFonts w:ascii="Times New Roman" w:hAnsi="Times New Roman" w:cs="Times New Roman"/>
          <w:sz w:val="24"/>
          <w:szCs w:val="24"/>
        </w:rPr>
      </w:pPr>
      <w:r w:rsidRPr="00BC57ED">
        <w:rPr>
          <w:rFonts w:ascii="Times New Roman" w:hAnsi="Times New Roman" w:cs="Times New Roman"/>
          <w:sz w:val="24"/>
          <w:szCs w:val="24"/>
        </w:rPr>
        <w:t xml:space="preserve">AIDA – Database on reception conditions in the different EU MS: </w:t>
      </w:r>
      <w:hyperlink r:id="rId14" w:history="1">
        <w:r w:rsidRPr="00BC57ED">
          <w:rPr>
            <w:rStyle w:val="Hyperlink"/>
            <w:rFonts w:ascii="Times New Roman" w:hAnsi="Times New Roman" w:cs="Times New Roman"/>
            <w:sz w:val="24"/>
            <w:szCs w:val="24"/>
          </w:rPr>
          <w:t>https://asylumineurope.org/about-aida/</w:t>
        </w:r>
      </w:hyperlink>
    </w:p>
    <w:p w14:paraId="3E877455" w14:textId="77777777" w:rsidR="00CA387E" w:rsidRPr="00BC57ED" w:rsidRDefault="00CA387E" w:rsidP="00CA387E">
      <w:pPr>
        <w:rPr>
          <w:rFonts w:ascii="Times New Roman" w:hAnsi="Times New Roman" w:cs="Times New Roman"/>
          <w:iCs/>
          <w:sz w:val="24"/>
          <w:szCs w:val="24"/>
        </w:rPr>
      </w:pPr>
      <w:r w:rsidRPr="00BC57ED">
        <w:rPr>
          <w:rFonts w:ascii="Times New Roman" w:hAnsi="Times New Roman" w:cs="Times New Roman"/>
          <w:iCs/>
          <w:sz w:val="24"/>
          <w:szCs w:val="24"/>
        </w:rPr>
        <w:t xml:space="preserve">European Council for Refugees and Exiles: </w:t>
      </w:r>
      <w:hyperlink r:id="rId15" w:history="1">
        <w:r w:rsidRPr="00BC57ED">
          <w:rPr>
            <w:rStyle w:val="Hyperlink"/>
            <w:rFonts w:ascii="Times New Roman" w:hAnsi="Times New Roman" w:cs="Times New Roman"/>
            <w:iCs/>
            <w:sz w:val="24"/>
            <w:szCs w:val="24"/>
          </w:rPr>
          <w:t>https://ecre.org/</w:t>
        </w:r>
      </w:hyperlink>
    </w:p>
    <w:p w14:paraId="6D86B1F3"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Cs/>
          <w:sz w:val="24"/>
          <w:szCs w:val="24"/>
        </w:rPr>
        <w:t>Statewatch Observatories</w:t>
      </w:r>
      <w:r w:rsidRPr="00BC57ED">
        <w:rPr>
          <w:rFonts w:ascii="Times New Roman" w:hAnsi="Times New Roman" w:cs="Times New Roman"/>
          <w:i/>
          <w:iCs/>
          <w:sz w:val="24"/>
          <w:szCs w:val="24"/>
        </w:rPr>
        <w:t xml:space="preserve">: </w:t>
      </w:r>
      <w:hyperlink r:id="rId16" w:history="1">
        <w:r w:rsidRPr="00BC57ED">
          <w:rPr>
            <w:rStyle w:val="Hyperlink"/>
            <w:rFonts w:ascii="Times New Roman" w:hAnsi="Times New Roman" w:cs="Times New Roman"/>
            <w:i/>
            <w:iCs/>
            <w:sz w:val="24"/>
            <w:szCs w:val="24"/>
          </w:rPr>
          <w:t>https://www.statewatch.org/observatories/</w:t>
        </w:r>
      </w:hyperlink>
    </w:p>
    <w:p w14:paraId="6365A5A5" w14:textId="77777777" w:rsidR="00CA387E" w:rsidRPr="00BC57ED" w:rsidRDefault="00CA387E" w:rsidP="00CA387E">
      <w:pPr>
        <w:rPr>
          <w:rFonts w:ascii="Times New Roman" w:hAnsi="Times New Roman" w:cs="Times New Roman"/>
          <w:i/>
          <w:iCs/>
          <w:sz w:val="24"/>
          <w:szCs w:val="24"/>
        </w:rPr>
      </w:pPr>
      <w:r w:rsidRPr="00BC57ED">
        <w:rPr>
          <w:rFonts w:ascii="Times New Roman" w:hAnsi="Times New Roman" w:cs="Times New Roman"/>
          <w:iCs/>
          <w:sz w:val="24"/>
          <w:szCs w:val="24"/>
        </w:rPr>
        <w:t>The AIRE Centre (Advice on Individual Rights in Europe):</w:t>
      </w:r>
      <w:r w:rsidRPr="00BC57ED">
        <w:rPr>
          <w:rFonts w:ascii="Times New Roman" w:hAnsi="Times New Roman" w:cs="Times New Roman"/>
          <w:i/>
          <w:iCs/>
          <w:sz w:val="24"/>
          <w:szCs w:val="24"/>
        </w:rPr>
        <w:t xml:space="preserve"> </w:t>
      </w:r>
      <w:hyperlink r:id="rId17" w:history="1">
        <w:r w:rsidRPr="00BC57ED">
          <w:rPr>
            <w:rStyle w:val="Hyperlink"/>
            <w:rFonts w:ascii="Times New Roman" w:hAnsi="Times New Roman" w:cs="Times New Roman"/>
            <w:i/>
            <w:iCs/>
            <w:sz w:val="24"/>
            <w:szCs w:val="24"/>
          </w:rPr>
          <w:t>https://www.airecentre.org/the-aire-centre</w:t>
        </w:r>
      </w:hyperlink>
    </w:p>
    <w:p w14:paraId="4D909A36" w14:textId="77777777" w:rsidR="00090EE5" w:rsidRDefault="00090EE5">
      <w:bookmarkStart w:id="0" w:name="_GoBack"/>
      <w:bookmarkEnd w:id="0"/>
    </w:p>
    <w:sectPr w:rsidR="00090EE5" w:rsidSect="0024329A">
      <w:footerReference w:type="default" r:id="rI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ll-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1001"/>
      <w:docPartObj>
        <w:docPartGallery w:val="Page Numbers (Bottom of Page)"/>
        <w:docPartUnique/>
      </w:docPartObj>
    </w:sdtPr>
    <w:sdtEndPr/>
    <w:sdtContent>
      <w:p w14:paraId="790DF8E2" w14:textId="77777777" w:rsidR="006C3415" w:rsidRDefault="00CA387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811F807" w14:textId="77777777" w:rsidR="006C3415" w:rsidRDefault="00CA387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7FF"/>
    <w:multiLevelType w:val="hybridMultilevel"/>
    <w:tmpl w:val="06E4B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AD312A4"/>
    <w:multiLevelType w:val="hybridMultilevel"/>
    <w:tmpl w:val="ABF08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742ED1"/>
    <w:multiLevelType w:val="hybridMultilevel"/>
    <w:tmpl w:val="AE185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302B00"/>
    <w:multiLevelType w:val="hybridMultilevel"/>
    <w:tmpl w:val="1990F3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5A76F1"/>
    <w:multiLevelType w:val="hybridMultilevel"/>
    <w:tmpl w:val="8D2414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B61075B"/>
    <w:multiLevelType w:val="hybridMultilevel"/>
    <w:tmpl w:val="AD24A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7E"/>
    <w:rsid w:val="00090EE5"/>
    <w:rsid w:val="00CA38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C044"/>
  <w15:chartTrackingRefBased/>
  <w15:docId w15:val="{F00E1CEA-CE74-4D63-8BC8-EEF0AC14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7E"/>
    <w:pPr>
      <w:spacing w:after="200" w:line="276" w:lineRule="auto"/>
    </w:pPr>
    <w:rPr>
      <w:rFonts w:eastAsiaTheme="minorEastAsia"/>
      <w:lang w:eastAsia="ko-KR"/>
    </w:rPr>
  </w:style>
  <w:style w:type="paragraph" w:styleId="Heading1">
    <w:name w:val="heading 1"/>
    <w:basedOn w:val="Normal"/>
    <w:next w:val="Normal"/>
    <w:link w:val="Heading1Char"/>
    <w:uiPriority w:val="9"/>
    <w:qFormat/>
    <w:rsid w:val="00CA38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87E"/>
    <w:rPr>
      <w:rFonts w:asciiTheme="majorHAnsi" w:eastAsiaTheme="majorEastAsia" w:hAnsiTheme="majorHAnsi" w:cstheme="majorBidi"/>
      <w:color w:val="2E74B5" w:themeColor="accent1" w:themeShade="BF"/>
      <w:sz w:val="32"/>
      <w:szCs w:val="32"/>
      <w:lang w:eastAsia="ko-KR"/>
    </w:rPr>
  </w:style>
  <w:style w:type="paragraph" w:styleId="ListParagraph">
    <w:name w:val="List Paragraph"/>
    <w:basedOn w:val="Normal"/>
    <w:uiPriority w:val="34"/>
    <w:qFormat/>
    <w:rsid w:val="00CA387E"/>
    <w:pPr>
      <w:ind w:left="720"/>
      <w:contextualSpacing/>
    </w:pPr>
  </w:style>
  <w:style w:type="character" w:styleId="Hyperlink">
    <w:name w:val="Hyperlink"/>
    <w:basedOn w:val="DefaultParagraphFont"/>
    <w:uiPriority w:val="99"/>
    <w:unhideWhenUsed/>
    <w:rsid w:val="00CA387E"/>
    <w:rPr>
      <w:color w:val="0563C1" w:themeColor="hyperlink"/>
      <w:u w:val="single"/>
    </w:rPr>
  </w:style>
  <w:style w:type="character" w:styleId="Emphasis">
    <w:name w:val="Emphasis"/>
    <w:uiPriority w:val="20"/>
    <w:qFormat/>
    <w:rsid w:val="00CA387E"/>
    <w:rPr>
      <w:i/>
      <w:iCs/>
    </w:rPr>
  </w:style>
  <w:style w:type="paragraph" w:styleId="NormalWeb">
    <w:name w:val="Normal (Web)"/>
    <w:basedOn w:val="Normal"/>
    <w:uiPriority w:val="99"/>
    <w:rsid w:val="00CA387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CA387E"/>
    <w:pPr>
      <w:spacing w:after="0" w:line="240" w:lineRule="auto"/>
      <w:jc w:val="center"/>
      <w:outlineLvl w:val="0"/>
    </w:pPr>
    <w:rPr>
      <w:rFonts w:ascii="Arial" w:eastAsia="Times New Roman" w:hAnsi="Arial" w:cs="Arial"/>
      <w:b/>
      <w:bCs/>
      <w:sz w:val="48"/>
      <w:szCs w:val="24"/>
      <w:lang w:val="en-GB" w:eastAsia="en-US"/>
    </w:rPr>
  </w:style>
  <w:style w:type="character" w:customStyle="1" w:styleId="TitleChar">
    <w:name w:val="Title Char"/>
    <w:basedOn w:val="DefaultParagraphFont"/>
    <w:link w:val="Title"/>
    <w:rsid w:val="00CA387E"/>
    <w:rPr>
      <w:rFonts w:ascii="Arial" w:eastAsia="Times New Roman" w:hAnsi="Arial" w:cs="Arial"/>
      <w:b/>
      <w:bCs/>
      <w:sz w:val="48"/>
      <w:szCs w:val="24"/>
      <w:lang w:val="en-GB"/>
    </w:rPr>
  </w:style>
  <w:style w:type="paragraph" w:styleId="Footer">
    <w:name w:val="footer"/>
    <w:basedOn w:val="Normal"/>
    <w:link w:val="FooterChar"/>
    <w:uiPriority w:val="99"/>
    <w:unhideWhenUsed/>
    <w:rsid w:val="00CA3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87E"/>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r.jur.ru.nl/neais/" TargetMode="External"/><Relationship Id="rId13" Type="http://schemas.openxmlformats.org/officeDocument/2006/relationships/hyperlink" Target="https://www.asylumlawdatabase.eu/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library.wiley.com/share/JWTKGTMIUFCW7KXFM5R9?target=10.1111/eulj.12469" TargetMode="External"/><Relationship Id="rId12" Type="http://schemas.openxmlformats.org/officeDocument/2006/relationships/hyperlink" Target="https://ec.europa.eu/eurostat" TargetMode="External"/><Relationship Id="rId17" Type="http://schemas.openxmlformats.org/officeDocument/2006/relationships/hyperlink" Target="https://www.airecentre.org/the-aire-centre" TargetMode="External"/><Relationship Id="rId2" Type="http://schemas.openxmlformats.org/officeDocument/2006/relationships/styles" Target="styles.xml"/><Relationship Id="rId16" Type="http://schemas.openxmlformats.org/officeDocument/2006/relationships/hyperlink" Target="https://www.statewatch.org/observa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me-affairs.ec.europa.eu/policies/migration-and-asylum/pact-migration-and-asylum/legislative-files-nutshell_en" TargetMode="External"/><Relationship Id="rId11" Type="http://schemas.openxmlformats.org/officeDocument/2006/relationships/hyperlink" Target="https://fra.europa.eu/en" TargetMode="External"/><Relationship Id="rId5" Type="http://schemas.openxmlformats.org/officeDocument/2006/relationships/hyperlink" Target="https://universityofgalway.instructure.com/" TargetMode="External"/><Relationship Id="rId15" Type="http://schemas.openxmlformats.org/officeDocument/2006/relationships/hyperlink" Target="https://ecre.org/" TargetMode="External"/><Relationship Id="rId10" Type="http://schemas.openxmlformats.org/officeDocument/2006/relationships/hyperlink" Target="https://euaa.europa.eu/about-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me-affairs.ec.europa.eu/policies/migration-and-asylum/common-european-asylum-system_en" TargetMode="External"/><Relationship Id="rId14" Type="http://schemas.openxmlformats.org/officeDocument/2006/relationships/hyperlink" Target="https://asylumineurope.org/about-a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Ciara</dc:creator>
  <cp:keywords/>
  <dc:description/>
  <cp:lastModifiedBy>Smyth, Ciara</cp:lastModifiedBy>
  <cp:revision>1</cp:revision>
  <dcterms:created xsi:type="dcterms:W3CDTF">2024-08-20T11:41:00Z</dcterms:created>
  <dcterms:modified xsi:type="dcterms:W3CDTF">2024-08-20T11:41:00Z</dcterms:modified>
</cp:coreProperties>
</file>