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7626" w14:textId="77777777" w:rsidR="003C6EFF" w:rsidRPr="004A0F32" w:rsidRDefault="003C6EFF" w:rsidP="00F46CC9">
      <w:pPr>
        <w:pStyle w:val="Title"/>
        <w:rPr>
          <w:rFonts w:ascii="Garamond" w:hAnsi="Garamond" w:cs="Times New Roman"/>
          <w:spacing w:val="-2"/>
          <w:sz w:val="24"/>
        </w:rPr>
      </w:pPr>
      <w:bookmarkStart w:id="0" w:name="Section_I__Theory_of_Information_Systems"/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  <w:r w:rsidRPr="004A0F32">
        <w:rPr>
          <w:rFonts w:ascii="Garamond" w:hAnsi="Garamond" w:cs="Times New Roman"/>
          <w:spacing w:val="-2"/>
          <w:sz w:val="24"/>
        </w:rPr>
        <w:tab/>
      </w:r>
    </w:p>
    <w:p w14:paraId="1FE4775C" w14:textId="5B9277B0" w:rsidR="003C6EFF" w:rsidRPr="004A0F32" w:rsidRDefault="006A1E2A" w:rsidP="00F46CC9">
      <w:pPr>
        <w:pStyle w:val="Title"/>
        <w:rPr>
          <w:rFonts w:ascii="Garamond" w:hAnsi="Garamond" w:cs="Times New Roman"/>
          <w:sz w:val="24"/>
        </w:rPr>
      </w:pPr>
      <w:r w:rsidRPr="004A0F32">
        <w:rPr>
          <w:rFonts w:ascii="Garamond" w:hAnsi="Garamond" w:cs="Times New Roman"/>
          <w:sz w:val="24"/>
        </w:rPr>
        <w:t>Irish Centre for Human Rights</w:t>
      </w:r>
      <w:r w:rsidR="00D70108" w:rsidRPr="004A0F32">
        <w:rPr>
          <w:rFonts w:ascii="Garamond" w:hAnsi="Garamond" w:cs="Times New Roman"/>
          <w:sz w:val="24"/>
        </w:rPr>
        <w:t xml:space="preserve">, </w:t>
      </w:r>
      <w:r w:rsidR="00CF6CCE" w:rsidRPr="004A0F32">
        <w:rPr>
          <w:rFonts w:ascii="Garamond" w:hAnsi="Garamond" w:cs="Times New Roman"/>
          <w:sz w:val="24"/>
        </w:rPr>
        <w:t>University of</w:t>
      </w:r>
      <w:r w:rsidR="00D70108" w:rsidRPr="004A0F32">
        <w:rPr>
          <w:rFonts w:ascii="Garamond" w:hAnsi="Garamond" w:cs="Times New Roman"/>
          <w:sz w:val="24"/>
        </w:rPr>
        <w:t xml:space="preserve"> Galway</w:t>
      </w:r>
    </w:p>
    <w:p w14:paraId="1AC3B8F3" w14:textId="26F6B218" w:rsidR="00BC4FCA" w:rsidRPr="004A0F32" w:rsidRDefault="004A3551" w:rsidP="00BC4FCA">
      <w:pPr>
        <w:pStyle w:val="Title"/>
        <w:rPr>
          <w:rFonts w:ascii="Garamond" w:hAnsi="Garamond" w:cs="Times New Roman"/>
          <w:iCs/>
          <w:sz w:val="24"/>
        </w:rPr>
      </w:pPr>
      <w:r w:rsidRPr="004A0F32">
        <w:rPr>
          <w:rFonts w:ascii="Garamond" w:hAnsi="Garamond" w:cs="Times New Roman"/>
          <w:iCs/>
          <w:sz w:val="24"/>
        </w:rPr>
        <w:t>Public International Law</w:t>
      </w:r>
      <w:r w:rsidR="001E584F" w:rsidRPr="004A0F32">
        <w:rPr>
          <w:rFonts w:ascii="Garamond" w:hAnsi="Garamond" w:cs="Times New Roman"/>
          <w:iCs/>
          <w:sz w:val="24"/>
        </w:rPr>
        <w:t xml:space="preserve"> </w:t>
      </w:r>
      <w:r w:rsidR="00BC4FCA" w:rsidRPr="004A0F32">
        <w:rPr>
          <w:rFonts w:ascii="Garamond" w:hAnsi="Garamond" w:cs="Times New Roman"/>
          <w:iCs/>
          <w:sz w:val="24"/>
        </w:rPr>
        <w:t>(</w:t>
      </w:r>
      <w:r w:rsidR="006A1E2A" w:rsidRPr="004A0F32">
        <w:rPr>
          <w:rFonts w:ascii="Garamond" w:hAnsi="Garamond" w:cs="Times New Roman"/>
          <w:iCs/>
          <w:sz w:val="24"/>
        </w:rPr>
        <w:t>LW</w:t>
      </w:r>
      <w:r w:rsidR="00CC4FE1" w:rsidRPr="004A0F32">
        <w:rPr>
          <w:rFonts w:ascii="Garamond" w:hAnsi="Garamond" w:cs="Times New Roman"/>
          <w:iCs/>
          <w:sz w:val="24"/>
        </w:rPr>
        <w:t>5118</w:t>
      </w:r>
      <w:r w:rsidR="00BC4FCA" w:rsidRPr="004A0F32">
        <w:rPr>
          <w:rFonts w:ascii="Garamond" w:hAnsi="Garamond" w:cs="Times New Roman"/>
          <w:iCs/>
          <w:sz w:val="24"/>
        </w:rPr>
        <w:t>)</w:t>
      </w:r>
    </w:p>
    <w:p w14:paraId="619B026A" w14:textId="654ED414" w:rsidR="003C6EFF" w:rsidRPr="004A0F32" w:rsidRDefault="003C6EFF" w:rsidP="00BC4FCA">
      <w:pPr>
        <w:pStyle w:val="Title"/>
        <w:rPr>
          <w:rFonts w:ascii="Garamond" w:hAnsi="Garamond" w:cs="Times New Roman"/>
          <w:iCs/>
          <w:sz w:val="24"/>
        </w:rPr>
      </w:pPr>
      <w:r w:rsidRPr="004A0F32">
        <w:rPr>
          <w:rFonts w:ascii="Garamond" w:hAnsi="Garamond" w:cs="Times New Roman"/>
          <w:iCs/>
          <w:sz w:val="24"/>
        </w:rPr>
        <w:t xml:space="preserve"> Course Outline</w:t>
      </w:r>
      <w:r w:rsidR="000C458E" w:rsidRPr="004A0F32">
        <w:rPr>
          <w:rFonts w:ascii="Garamond" w:hAnsi="Garamond" w:cs="Times New Roman"/>
          <w:bCs w:val="0"/>
          <w:iCs/>
          <w:sz w:val="24"/>
        </w:rPr>
        <w:t xml:space="preserve"> 20</w:t>
      </w:r>
      <w:r w:rsidR="006A1E2A" w:rsidRPr="004A0F32">
        <w:rPr>
          <w:rFonts w:ascii="Garamond" w:hAnsi="Garamond" w:cs="Times New Roman"/>
          <w:bCs w:val="0"/>
          <w:iCs/>
          <w:sz w:val="24"/>
        </w:rPr>
        <w:t>2</w:t>
      </w:r>
      <w:r w:rsidR="0098291D" w:rsidRPr="004A0F32">
        <w:rPr>
          <w:rFonts w:ascii="Garamond" w:hAnsi="Garamond" w:cs="Times New Roman"/>
          <w:bCs w:val="0"/>
          <w:iCs/>
          <w:sz w:val="24"/>
        </w:rPr>
        <w:t>4</w:t>
      </w:r>
      <w:r w:rsidR="006A1E2A" w:rsidRPr="004A0F32">
        <w:rPr>
          <w:rFonts w:ascii="Garamond" w:hAnsi="Garamond" w:cs="Times New Roman"/>
          <w:bCs w:val="0"/>
          <w:iCs/>
          <w:sz w:val="24"/>
        </w:rPr>
        <w:t>-2</w:t>
      </w:r>
      <w:r w:rsidR="0098291D" w:rsidRPr="004A0F32">
        <w:rPr>
          <w:rFonts w:ascii="Garamond" w:hAnsi="Garamond" w:cs="Times New Roman"/>
          <w:bCs w:val="0"/>
          <w:iCs/>
          <w:sz w:val="24"/>
        </w:rPr>
        <w:t>5</w:t>
      </w:r>
    </w:p>
    <w:p w14:paraId="12B888EF" w14:textId="77777777" w:rsidR="003C6EFF" w:rsidRPr="004A0F32" w:rsidRDefault="003C6EFF" w:rsidP="00F46CC9">
      <w:pPr>
        <w:pStyle w:val="NormalWeb"/>
        <w:spacing w:before="0" w:beforeAutospacing="0" w:after="0" w:afterAutospacing="0"/>
        <w:rPr>
          <w:rFonts w:ascii="Garamond" w:hAnsi="Garamond"/>
        </w:rPr>
      </w:pPr>
    </w:p>
    <w:p w14:paraId="4C69E5EE" w14:textId="77777777" w:rsidR="003C6EFF" w:rsidRPr="004A0F32" w:rsidRDefault="003C6EFF" w:rsidP="00F46CC9">
      <w:pPr>
        <w:pStyle w:val="NormalWeb"/>
        <w:spacing w:before="0" w:beforeAutospacing="0" w:after="0" w:afterAutospacing="0"/>
        <w:rPr>
          <w:rFonts w:ascii="Garamond" w:hAnsi="Garamond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1357"/>
        <w:gridCol w:w="1660"/>
        <w:gridCol w:w="1386"/>
        <w:gridCol w:w="3187"/>
      </w:tblGrid>
      <w:tr w:rsidR="0046656C" w:rsidRPr="004A0F32" w14:paraId="3EF60C1C" w14:textId="77777777" w:rsidTr="00850B73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6C2A4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</w:rPr>
            </w:pPr>
            <w:r w:rsidRPr="004A0F32">
              <w:rPr>
                <w:rFonts w:ascii="Garamond" w:hAnsi="Garamond"/>
                <w:b/>
              </w:rPr>
              <w:t>Objective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C5A0" w14:textId="77777777" w:rsidR="003C6EFF" w:rsidRPr="004A0F32" w:rsidRDefault="003C6EFF" w:rsidP="00F46CC9">
            <w:p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The objective of this course is to:</w:t>
            </w:r>
          </w:p>
          <w:p w14:paraId="5599B232" w14:textId="5F948983" w:rsidR="00022973" w:rsidRPr="004A0F32" w:rsidRDefault="00056B52" w:rsidP="00F46CC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Intro</w:t>
            </w:r>
            <w:r w:rsidR="00C25E57" w:rsidRPr="004A0F32">
              <w:rPr>
                <w:rFonts w:ascii="Garamond" w:hAnsi="Garamond"/>
              </w:rPr>
              <w:t>duce students to the basic principles</w:t>
            </w:r>
            <w:r w:rsidRPr="004A0F32">
              <w:rPr>
                <w:rFonts w:ascii="Garamond" w:hAnsi="Garamond"/>
              </w:rPr>
              <w:t xml:space="preserve"> and concepts of </w:t>
            </w:r>
            <w:r w:rsidR="00152003" w:rsidRPr="004A0F32">
              <w:rPr>
                <w:rFonts w:ascii="Garamond" w:hAnsi="Garamond"/>
              </w:rPr>
              <w:t>Public International Law (</w:t>
            </w:r>
            <w:r w:rsidRPr="004A0F32">
              <w:rPr>
                <w:rFonts w:ascii="Garamond" w:hAnsi="Garamond"/>
              </w:rPr>
              <w:t>PIL</w:t>
            </w:r>
            <w:r w:rsidR="00152003" w:rsidRPr="004A0F32">
              <w:rPr>
                <w:rFonts w:ascii="Garamond" w:hAnsi="Garamond"/>
              </w:rPr>
              <w:t>)</w:t>
            </w:r>
            <w:r w:rsidR="00CF6CCE" w:rsidRPr="004A0F32">
              <w:rPr>
                <w:rFonts w:ascii="Garamond" w:hAnsi="Garamond"/>
              </w:rPr>
              <w:t>.</w:t>
            </w:r>
          </w:p>
          <w:p w14:paraId="050A920B" w14:textId="5DB00396" w:rsidR="00056B52" w:rsidRPr="004A0F32" w:rsidRDefault="00056B52" w:rsidP="00F46CC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Expose students to the PIL foundations of their specialism e.g. International Human Rights Law, International Criminal Law</w:t>
            </w:r>
            <w:r w:rsidR="0098291D" w:rsidRPr="004A0F32">
              <w:rPr>
                <w:rFonts w:ascii="Garamond" w:hAnsi="Garamond"/>
              </w:rPr>
              <w:t>,</w:t>
            </w:r>
            <w:r w:rsidRPr="004A0F32">
              <w:rPr>
                <w:rFonts w:ascii="Garamond" w:hAnsi="Garamond"/>
              </w:rPr>
              <w:t xml:space="preserve"> etc</w:t>
            </w:r>
            <w:r w:rsidR="00CF6CCE" w:rsidRPr="004A0F32">
              <w:rPr>
                <w:rFonts w:ascii="Garamond" w:hAnsi="Garamond"/>
              </w:rPr>
              <w:t>.</w:t>
            </w:r>
          </w:p>
          <w:p w14:paraId="04560D3F" w14:textId="7831ED6E" w:rsidR="00022973" w:rsidRPr="004A0F32" w:rsidRDefault="00056B52" w:rsidP="00F46CC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Equip students with PIL research skills</w:t>
            </w:r>
            <w:r w:rsidR="00CF6CCE" w:rsidRPr="004A0F32">
              <w:rPr>
                <w:rFonts w:ascii="Garamond" w:hAnsi="Garamond"/>
              </w:rPr>
              <w:t>.</w:t>
            </w:r>
          </w:p>
          <w:p w14:paraId="5B2059CE" w14:textId="55A363A1" w:rsidR="00E05BFC" w:rsidRPr="004A0F32" w:rsidRDefault="00E05BFC" w:rsidP="00F46CC9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Enable students to analyse real-world international events through a PIL lens</w:t>
            </w:r>
            <w:r w:rsidR="00CF6CCE" w:rsidRPr="004A0F32">
              <w:rPr>
                <w:rFonts w:ascii="Garamond" w:hAnsi="Garamond"/>
              </w:rPr>
              <w:t>.</w:t>
            </w:r>
          </w:p>
          <w:p w14:paraId="5DD7E842" w14:textId="5461C359" w:rsidR="00C25E57" w:rsidRPr="004A0F32" w:rsidRDefault="00C25E57" w:rsidP="00331266">
            <w:pPr>
              <w:rPr>
                <w:rFonts w:ascii="Garamond" w:hAnsi="Garamond"/>
              </w:rPr>
            </w:pPr>
          </w:p>
        </w:tc>
      </w:tr>
      <w:tr w:rsidR="0046656C" w:rsidRPr="004A0F32" w14:paraId="1C283BF1" w14:textId="77777777" w:rsidTr="008B14A6">
        <w:trPr>
          <w:trHeight w:val="1078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B69BD" w14:textId="2D5DD13B" w:rsidR="008B14A6" w:rsidRPr="004A0F32" w:rsidRDefault="008B14A6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</w:rPr>
            </w:pPr>
            <w:r w:rsidRPr="004A0F32">
              <w:rPr>
                <w:rFonts w:ascii="Garamond" w:hAnsi="Garamond"/>
                <w:b/>
              </w:rPr>
              <w:t>Lecturer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55F54C" w14:textId="4EDF636C" w:rsidR="00331266" w:rsidRPr="004A0F32" w:rsidRDefault="0098291D" w:rsidP="00F46CC9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Dr. Paul Bradfield</w:t>
            </w:r>
          </w:p>
          <w:p w14:paraId="7D30CAC2" w14:textId="77777777" w:rsidR="0098291D" w:rsidRPr="004A0F32" w:rsidRDefault="0098291D" w:rsidP="00F46CC9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  <w:b/>
              </w:rPr>
            </w:pPr>
          </w:p>
          <w:p w14:paraId="3C0825ED" w14:textId="34075F61" w:rsidR="0098291D" w:rsidRPr="004A0F32" w:rsidRDefault="0098291D" w:rsidP="00F46CC9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  <w:bCs/>
              </w:rPr>
            </w:pPr>
            <w:r w:rsidRPr="004A0F32">
              <w:rPr>
                <w:rFonts w:ascii="Garamond" w:hAnsi="Garamond"/>
                <w:b/>
              </w:rPr>
              <w:t xml:space="preserve">Email: </w:t>
            </w:r>
            <w:hyperlink r:id="rId7" w:history="1">
              <w:r w:rsidRPr="004A0F32">
                <w:rPr>
                  <w:rStyle w:val="Hyperlink"/>
                  <w:rFonts w:ascii="Garamond" w:hAnsi="Garamond"/>
                  <w:b/>
                </w:rPr>
                <w:t>paul.bradfield@universityofgalway.ie</w:t>
              </w:r>
            </w:hyperlink>
            <w:r w:rsidRPr="004A0F32">
              <w:rPr>
                <w:rFonts w:ascii="Garamond" w:hAnsi="Garamond"/>
                <w:b/>
              </w:rPr>
              <w:t xml:space="preserve"> </w:t>
            </w:r>
          </w:p>
          <w:p w14:paraId="6AECDEB2" w14:textId="57D12190" w:rsidR="00331266" w:rsidRPr="004A0F32" w:rsidRDefault="00331266" w:rsidP="00F46CC9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  <w:bCs/>
              </w:rPr>
            </w:pPr>
          </w:p>
        </w:tc>
      </w:tr>
      <w:tr w:rsidR="0046656C" w:rsidRPr="004A0F32" w14:paraId="1D924C5F" w14:textId="77777777" w:rsidTr="001E584F">
        <w:trPr>
          <w:trHeight w:val="134"/>
        </w:trPr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9748F" w14:textId="77777777" w:rsidR="001E584F" w:rsidRPr="004A0F32" w:rsidRDefault="001E584F" w:rsidP="00F46CC9">
            <w:pPr>
              <w:tabs>
                <w:tab w:val="left" w:pos="-720"/>
                <w:tab w:val="left" w:pos="0"/>
                <w:tab w:val="left" w:pos="720"/>
              </w:tabs>
              <w:ind w:left="1440" w:right="84" w:hanging="1440"/>
              <w:jc w:val="center"/>
              <w:rPr>
                <w:rFonts w:ascii="Garamond" w:hAnsi="Garamond"/>
              </w:rPr>
            </w:pPr>
            <w:r w:rsidRPr="004A0F32">
              <w:rPr>
                <w:rFonts w:ascii="Garamond" w:hAnsi="Garamond"/>
                <w:b/>
              </w:rPr>
              <w:t>Times</w:t>
            </w:r>
            <w:r w:rsidR="000C458E" w:rsidRPr="004A0F32">
              <w:rPr>
                <w:rFonts w:ascii="Garamond" w:hAnsi="Garamond"/>
                <w:b/>
              </w:rPr>
              <w:t xml:space="preserve"> &amp; venue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F2004" w14:textId="77777777" w:rsidR="00331266" w:rsidRPr="004A0F32" w:rsidRDefault="00331266" w:rsidP="00F46CC9">
            <w:pPr>
              <w:rPr>
                <w:rFonts w:ascii="Garamond" w:hAnsi="Garamond"/>
              </w:rPr>
            </w:pPr>
          </w:p>
          <w:p w14:paraId="65B95515" w14:textId="5D3CCC79" w:rsidR="006B681E" w:rsidRPr="004A0F32" w:rsidRDefault="0098291D" w:rsidP="00F46CC9">
            <w:pPr>
              <w:rPr>
                <w:rFonts w:ascii="Garamond" w:hAnsi="Garamond"/>
                <w:bCs/>
              </w:rPr>
            </w:pPr>
            <w:r w:rsidRPr="004A0F32">
              <w:rPr>
                <w:rFonts w:ascii="Garamond" w:hAnsi="Garamond"/>
                <w:b/>
                <w:bCs/>
              </w:rPr>
              <w:t>Duration</w:t>
            </w:r>
            <w:r w:rsidRPr="004A0F32">
              <w:rPr>
                <w:rFonts w:ascii="Garamond" w:hAnsi="Garamond"/>
              </w:rPr>
              <w:t xml:space="preserve">: </w:t>
            </w:r>
            <w:r w:rsidR="00DB28C0" w:rsidRPr="004A0F32">
              <w:rPr>
                <w:rFonts w:ascii="Garamond" w:hAnsi="Garamond"/>
              </w:rPr>
              <w:t>This is an 8-week</w:t>
            </w:r>
            <w:r w:rsidR="00D70108" w:rsidRPr="004A0F32">
              <w:rPr>
                <w:rFonts w:ascii="Garamond" w:hAnsi="Garamond"/>
              </w:rPr>
              <w:t xml:space="preserve"> course.</w:t>
            </w:r>
            <w:r w:rsidR="00152003" w:rsidRPr="004A0F32">
              <w:rPr>
                <w:rFonts w:ascii="Garamond" w:hAnsi="Garamond"/>
              </w:rPr>
              <w:t xml:space="preserve"> It takes place </w:t>
            </w:r>
            <w:r w:rsidRPr="004A0F32">
              <w:rPr>
                <w:rFonts w:ascii="Garamond" w:hAnsi="Garamond"/>
              </w:rPr>
              <w:t>during</w:t>
            </w:r>
            <w:r w:rsidR="00152003" w:rsidRPr="004A0F32">
              <w:rPr>
                <w:rFonts w:ascii="Garamond" w:hAnsi="Garamond"/>
              </w:rPr>
              <w:t xml:space="preserve"> </w:t>
            </w:r>
            <w:r w:rsidR="00152003" w:rsidRPr="004A0F32">
              <w:rPr>
                <w:rFonts w:ascii="Garamond" w:hAnsi="Garamond"/>
                <w:bCs/>
                <w:u w:val="single"/>
              </w:rPr>
              <w:t xml:space="preserve">weeks </w:t>
            </w:r>
            <w:r w:rsidRPr="004A0F32">
              <w:rPr>
                <w:rFonts w:ascii="Garamond" w:hAnsi="Garamond"/>
                <w:bCs/>
                <w:u w:val="single"/>
              </w:rPr>
              <w:t>2</w:t>
            </w:r>
            <w:r w:rsidR="00152003" w:rsidRPr="004A0F32">
              <w:rPr>
                <w:rFonts w:ascii="Garamond" w:hAnsi="Garamond"/>
                <w:bCs/>
                <w:u w:val="single"/>
              </w:rPr>
              <w:t>-</w:t>
            </w:r>
            <w:r w:rsidRPr="004A0F32">
              <w:rPr>
                <w:rFonts w:ascii="Garamond" w:hAnsi="Garamond"/>
                <w:bCs/>
                <w:u w:val="single"/>
              </w:rPr>
              <w:t>9</w:t>
            </w:r>
            <w:r w:rsidR="00152003" w:rsidRPr="004A0F32">
              <w:rPr>
                <w:rFonts w:ascii="Garamond" w:hAnsi="Garamond"/>
                <w:bCs/>
              </w:rPr>
              <w:t xml:space="preserve"> of Semester 1.</w:t>
            </w:r>
          </w:p>
          <w:p w14:paraId="1201FD3F" w14:textId="77777777" w:rsidR="006B681E" w:rsidRPr="004A0F32" w:rsidRDefault="006B681E" w:rsidP="00F46CC9">
            <w:pPr>
              <w:rPr>
                <w:rFonts w:ascii="Garamond" w:hAnsi="Garamond"/>
              </w:rPr>
            </w:pPr>
          </w:p>
          <w:p w14:paraId="515CDED7" w14:textId="140EF287" w:rsidR="001E584F" w:rsidRPr="004A0F32" w:rsidRDefault="0098291D" w:rsidP="00DB28C0">
            <w:pPr>
              <w:rPr>
                <w:rFonts w:ascii="Garamond" w:hAnsi="Garamond"/>
              </w:rPr>
            </w:pPr>
            <w:r w:rsidRPr="004A0F32">
              <w:rPr>
                <w:rFonts w:ascii="Garamond" w:hAnsi="Garamond"/>
                <w:b/>
                <w:bCs/>
              </w:rPr>
              <w:t>Class time &amp; location</w:t>
            </w:r>
            <w:r w:rsidRPr="004A0F32">
              <w:rPr>
                <w:rFonts w:ascii="Garamond" w:hAnsi="Garamond"/>
              </w:rPr>
              <w:t>: Tuesdays from 10am – 1pm in the Seminar Room of the Irish Centre for Human Rights building.</w:t>
            </w:r>
          </w:p>
          <w:p w14:paraId="5F92CB68" w14:textId="59744CB8" w:rsidR="00F7121F" w:rsidRPr="004A0F32" w:rsidRDefault="00F7121F" w:rsidP="00DB28C0">
            <w:pPr>
              <w:rPr>
                <w:rFonts w:ascii="Garamond" w:hAnsi="Garamond"/>
              </w:rPr>
            </w:pPr>
          </w:p>
        </w:tc>
      </w:tr>
      <w:tr w:rsidR="0046656C" w:rsidRPr="004A0F32" w14:paraId="20C3C318" w14:textId="77777777" w:rsidTr="00850B73">
        <w:trPr>
          <w:trHeight w:val="133"/>
        </w:trPr>
        <w:tc>
          <w:tcPr>
            <w:tcW w:w="10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88818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ind w:left="1440" w:right="84" w:hanging="14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9C14E" w14:textId="77777777" w:rsidR="003C6EFF" w:rsidRPr="004A0F32" w:rsidRDefault="003C6EFF" w:rsidP="00331266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right="85"/>
              <w:rPr>
                <w:rFonts w:ascii="Garamond" w:hAnsi="Garamond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9BD35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right="85"/>
              <w:rPr>
                <w:rFonts w:ascii="Garamond" w:hAnsi="Garamond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54FF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right="85"/>
              <w:rPr>
                <w:rFonts w:ascii="Garamond" w:hAnsi="Garamond"/>
              </w:rPr>
            </w:pPr>
          </w:p>
        </w:tc>
        <w:tc>
          <w:tcPr>
            <w:tcW w:w="16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5A40F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right="85"/>
              <w:rPr>
                <w:rFonts w:ascii="Garamond" w:hAnsi="Garamond"/>
              </w:rPr>
            </w:pPr>
          </w:p>
        </w:tc>
      </w:tr>
      <w:tr w:rsidR="0046656C" w:rsidRPr="004A0F32" w14:paraId="2B6861ED" w14:textId="77777777" w:rsidTr="00331266">
        <w:trPr>
          <w:trHeight w:val="133"/>
        </w:trPr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24B69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ind w:left="1440" w:right="84" w:hanging="1440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3C0FB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right="85" w:hanging="1440"/>
              <w:rPr>
                <w:rFonts w:ascii="Garamond" w:hAnsi="Garamond"/>
              </w:rPr>
            </w:pPr>
          </w:p>
        </w:tc>
        <w:tc>
          <w:tcPr>
            <w:tcW w:w="3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1BC0" w14:textId="77777777" w:rsidR="003C6EFF" w:rsidRPr="004A0F32" w:rsidRDefault="003C6EFF" w:rsidP="00F46CC9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right="85" w:hanging="1440"/>
              <w:rPr>
                <w:rFonts w:ascii="Garamond" w:hAnsi="Garamond"/>
              </w:rPr>
            </w:pPr>
          </w:p>
        </w:tc>
      </w:tr>
      <w:tr w:rsidR="0046656C" w:rsidRPr="004A0F32" w14:paraId="0EA19FC8" w14:textId="77777777" w:rsidTr="00850B73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19E62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Overall Learning Outcomes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4E9" w14:textId="77777777" w:rsidR="003C6EFF" w:rsidRPr="004A0F32" w:rsidRDefault="003C6EFF" w:rsidP="00F46CC9">
            <w:pPr>
              <w:tabs>
                <w:tab w:val="right" w:pos="-720"/>
                <w:tab w:val="left" w:pos="0"/>
                <w:tab w:val="num" w:pos="1080"/>
                <w:tab w:val="left" w:pos="3616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Upon co</w:t>
            </w:r>
            <w:r w:rsidR="008B14A6" w:rsidRPr="004A0F32">
              <w:rPr>
                <w:rFonts w:ascii="Garamond" w:hAnsi="Garamond"/>
              </w:rPr>
              <w:t>mpletion of this course you should</w:t>
            </w:r>
            <w:r w:rsidRPr="004A0F32">
              <w:rPr>
                <w:rFonts w:ascii="Garamond" w:hAnsi="Garamond"/>
              </w:rPr>
              <w:t xml:space="preserve"> be able to: </w:t>
            </w:r>
          </w:p>
          <w:p w14:paraId="6B1E6B00" w14:textId="4E63A6A4" w:rsidR="00C90B31" w:rsidRPr="004A0F32" w:rsidRDefault="00C90B31" w:rsidP="004A355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Explain how PIL has developed and the major influences on its development</w:t>
            </w:r>
            <w:r w:rsidR="0098291D" w:rsidRPr="004A0F32">
              <w:rPr>
                <w:rFonts w:ascii="Garamond" w:hAnsi="Garamond"/>
              </w:rPr>
              <w:t>;</w:t>
            </w:r>
          </w:p>
          <w:p w14:paraId="52B16A48" w14:textId="1FC7A81E" w:rsidR="004A3551" w:rsidRPr="004A0F32" w:rsidRDefault="004A3551" w:rsidP="004A355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Differentiate between the various subjects of </w:t>
            </w:r>
            <w:r w:rsidR="00C90B31" w:rsidRPr="004A0F32">
              <w:rPr>
                <w:rFonts w:ascii="Garamond" w:hAnsi="Garamond"/>
              </w:rPr>
              <w:t>PIL</w:t>
            </w:r>
            <w:r w:rsidR="0098291D" w:rsidRPr="004A0F32">
              <w:rPr>
                <w:rFonts w:ascii="Garamond" w:hAnsi="Garamond"/>
              </w:rPr>
              <w:t>;</w:t>
            </w:r>
          </w:p>
          <w:p w14:paraId="4AA0AAF7" w14:textId="5D1246A3" w:rsidR="004A3551" w:rsidRPr="004A0F32" w:rsidRDefault="004A3551" w:rsidP="00C25E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Research </w:t>
            </w:r>
            <w:r w:rsidR="00C90B31" w:rsidRPr="004A0F32">
              <w:rPr>
                <w:rFonts w:ascii="Garamond" w:hAnsi="Garamond"/>
              </w:rPr>
              <w:t xml:space="preserve">and evaluate </w:t>
            </w:r>
            <w:r w:rsidRPr="004A0F32">
              <w:rPr>
                <w:rFonts w:ascii="Garamond" w:hAnsi="Garamond"/>
              </w:rPr>
              <w:t xml:space="preserve">the various sources of </w:t>
            </w:r>
            <w:r w:rsidR="00C90B31" w:rsidRPr="004A0F32">
              <w:rPr>
                <w:rFonts w:ascii="Garamond" w:hAnsi="Garamond"/>
              </w:rPr>
              <w:t>PIL</w:t>
            </w:r>
            <w:r w:rsidRPr="004A0F32">
              <w:rPr>
                <w:rFonts w:ascii="Garamond" w:hAnsi="Garamond"/>
              </w:rPr>
              <w:t xml:space="preserve"> to identify what the law governing any particular issue is</w:t>
            </w:r>
            <w:r w:rsidR="0098291D" w:rsidRPr="004A0F32">
              <w:rPr>
                <w:rFonts w:ascii="Garamond" w:hAnsi="Garamond"/>
              </w:rPr>
              <w:t>;</w:t>
            </w:r>
          </w:p>
          <w:p w14:paraId="4D6E538A" w14:textId="19BE3408" w:rsidR="00C90B31" w:rsidRPr="004A0F32" w:rsidRDefault="00C90B31" w:rsidP="004A355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Show how States navigate the rules of PIL in the interest of reciprocity, international comity or self</w:t>
            </w:r>
            <w:r w:rsidR="0098291D" w:rsidRPr="004A0F32">
              <w:rPr>
                <w:rFonts w:ascii="Garamond" w:hAnsi="Garamond"/>
              </w:rPr>
              <w:t>-</w:t>
            </w:r>
            <w:r w:rsidRPr="004A0F32">
              <w:rPr>
                <w:rFonts w:ascii="Garamond" w:hAnsi="Garamond"/>
              </w:rPr>
              <w:t>interest</w:t>
            </w:r>
            <w:r w:rsidR="0098291D" w:rsidRPr="004A0F32">
              <w:rPr>
                <w:rFonts w:ascii="Garamond" w:hAnsi="Garamond"/>
              </w:rPr>
              <w:t>;</w:t>
            </w:r>
          </w:p>
          <w:p w14:paraId="72A92B43" w14:textId="77777777" w:rsidR="008B14A6" w:rsidRPr="004A0F32" w:rsidRDefault="004A3551" w:rsidP="00C90B3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Apply the norms of int</w:t>
            </w:r>
            <w:r w:rsidR="0098291D" w:rsidRPr="004A0F32">
              <w:rPr>
                <w:rFonts w:ascii="Garamond" w:hAnsi="Garamond"/>
              </w:rPr>
              <w:t>ernationa</w:t>
            </w:r>
            <w:r w:rsidRPr="004A0F32">
              <w:rPr>
                <w:rFonts w:ascii="Garamond" w:hAnsi="Garamond"/>
              </w:rPr>
              <w:t>l law to real-world situations</w:t>
            </w:r>
            <w:r w:rsidR="0098291D" w:rsidRPr="004A0F32">
              <w:rPr>
                <w:rFonts w:ascii="Garamond" w:hAnsi="Garamond"/>
              </w:rPr>
              <w:t>.</w:t>
            </w:r>
          </w:p>
          <w:p w14:paraId="0F216162" w14:textId="68395E7C" w:rsidR="0098291D" w:rsidRPr="004A0F32" w:rsidRDefault="0098291D" w:rsidP="0098291D">
            <w:pPr>
              <w:pStyle w:val="ListParagraph"/>
              <w:spacing w:line="276" w:lineRule="auto"/>
              <w:rPr>
                <w:rFonts w:ascii="Garamond" w:hAnsi="Garamond"/>
              </w:rPr>
            </w:pPr>
          </w:p>
        </w:tc>
      </w:tr>
      <w:tr w:rsidR="0046656C" w:rsidRPr="004A0F32" w14:paraId="37AFBB2E" w14:textId="77777777" w:rsidTr="00850B73">
        <w:trPr>
          <w:trHeight w:val="76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B7174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</w:rPr>
            </w:pPr>
            <w:r w:rsidRPr="004A0F32">
              <w:rPr>
                <w:rFonts w:ascii="Garamond" w:hAnsi="Garamond"/>
                <w:b/>
              </w:rPr>
              <w:t>Format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5904" w14:textId="5AFEB1A9" w:rsidR="003C6EFF" w:rsidRPr="004A0F32" w:rsidRDefault="00152003" w:rsidP="00B852F5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Each seminar lasts 3 hours, with a break. </w:t>
            </w:r>
            <w:r w:rsidR="00C15C20" w:rsidRPr="004A0F32">
              <w:rPr>
                <w:rFonts w:ascii="Garamond" w:hAnsi="Garamond"/>
              </w:rPr>
              <w:t>Classes are in</w:t>
            </w:r>
            <w:r w:rsidR="00911A27" w:rsidRPr="004A0F32">
              <w:rPr>
                <w:rFonts w:ascii="Garamond" w:hAnsi="Garamond"/>
              </w:rPr>
              <w:t>-</w:t>
            </w:r>
            <w:r w:rsidR="00C15C20" w:rsidRPr="004A0F32">
              <w:rPr>
                <w:rFonts w:ascii="Garamond" w:hAnsi="Garamond"/>
              </w:rPr>
              <w:t>person and attendance is expected.</w:t>
            </w:r>
          </w:p>
        </w:tc>
      </w:tr>
      <w:tr w:rsidR="0046656C" w:rsidRPr="004A0F32" w14:paraId="19BCE9BC" w14:textId="77777777" w:rsidTr="00850B73">
        <w:trPr>
          <w:trHeight w:val="76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CAD8C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Programme(s)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CBE5" w14:textId="7B154708" w:rsidR="003C6EFF" w:rsidRPr="004A0F32" w:rsidRDefault="00DB28C0" w:rsidP="00F46CC9">
            <w:pPr>
              <w:tabs>
                <w:tab w:val="left" w:pos="-720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LL.M</w:t>
            </w:r>
            <w:r w:rsidR="001E584F" w:rsidRPr="004A0F32">
              <w:rPr>
                <w:rFonts w:ascii="Garamond" w:hAnsi="Garamond"/>
              </w:rPr>
              <w:t xml:space="preserve"> </w:t>
            </w:r>
            <w:r w:rsidR="00C90B31" w:rsidRPr="004A0F32">
              <w:rPr>
                <w:rFonts w:ascii="Garamond" w:hAnsi="Garamond"/>
              </w:rPr>
              <w:t>Programmes in the ICHR and School of Law</w:t>
            </w:r>
            <w:r w:rsidR="0098291D" w:rsidRPr="004A0F32">
              <w:rPr>
                <w:rFonts w:ascii="Garamond" w:hAnsi="Garamond"/>
              </w:rPr>
              <w:t>.</w:t>
            </w:r>
          </w:p>
        </w:tc>
      </w:tr>
      <w:tr w:rsidR="0046656C" w:rsidRPr="004A0F32" w14:paraId="1F33BB48" w14:textId="77777777" w:rsidTr="00850B73">
        <w:trPr>
          <w:trHeight w:val="766"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F8718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Course Material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8D99" w14:textId="3BB51955" w:rsidR="003C6EFF" w:rsidRPr="004A0F32" w:rsidRDefault="00BC4FCA" w:rsidP="00F46CC9">
            <w:pPr>
              <w:tabs>
                <w:tab w:val="left" w:pos="-720"/>
              </w:tabs>
              <w:spacing w:before="60"/>
              <w:ind w:right="85"/>
              <w:rPr>
                <w:rStyle w:val="Hyperlink"/>
                <w:rFonts w:ascii="Garamond" w:hAnsi="Garamond"/>
                <w:color w:val="auto"/>
              </w:rPr>
            </w:pPr>
            <w:r w:rsidRPr="004A0F32">
              <w:rPr>
                <w:rFonts w:ascii="Garamond" w:hAnsi="Garamond"/>
              </w:rPr>
              <w:t xml:space="preserve">The course is available on the </w:t>
            </w:r>
            <w:hyperlink r:id="rId8" w:history="1">
              <w:r w:rsidR="0098291D" w:rsidRPr="004A0F32">
                <w:rPr>
                  <w:rStyle w:val="Hyperlink"/>
                  <w:rFonts w:ascii="Garamond" w:hAnsi="Garamond"/>
                </w:rPr>
                <w:t>Canvas</w:t>
              </w:r>
            </w:hyperlink>
            <w:r w:rsidR="0098291D" w:rsidRPr="004A0F32">
              <w:rPr>
                <w:rFonts w:ascii="Garamond" w:hAnsi="Garamond"/>
              </w:rPr>
              <w:t xml:space="preserve"> portal.</w:t>
            </w:r>
          </w:p>
          <w:p w14:paraId="18472905" w14:textId="37CA1167" w:rsidR="006D781A" w:rsidRPr="004A0F32" w:rsidRDefault="006D781A" w:rsidP="006D781A">
            <w:pPr>
              <w:spacing w:line="259" w:lineRule="auto"/>
              <w:rPr>
                <w:rFonts w:ascii="Garamond" w:hAnsi="Garamond"/>
              </w:rPr>
            </w:pPr>
          </w:p>
          <w:p w14:paraId="3182BBAF" w14:textId="40F7880D" w:rsidR="006D781A" w:rsidRDefault="000D1070" w:rsidP="006D781A">
            <w:pPr>
              <w:spacing w:line="259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 below</w:t>
            </w:r>
            <w:r w:rsidR="00331266" w:rsidRPr="004A0F32">
              <w:rPr>
                <w:rFonts w:ascii="Garamond" w:hAnsi="Garamond"/>
              </w:rPr>
              <w:t xml:space="preserve"> textbooks are available in the library, </w:t>
            </w:r>
            <w:r w:rsidR="00A67A2C">
              <w:rPr>
                <w:rFonts w:ascii="Garamond" w:hAnsi="Garamond"/>
              </w:rPr>
              <w:t>while</w:t>
            </w:r>
            <w:r w:rsidR="00331266" w:rsidRPr="004A0F32">
              <w:rPr>
                <w:rFonts w:ascii="Garamond" w:hAnsi="Garamond"/>
              </w:rPr>
              <w:t xml:space="preserve"> all</w:t>
            </w:r>
            <w:r w:rsidR="00A67A2C">
              <w:rPr>
                <w:rFonts w:ascii="Garamond" w:hAnsi="Garamond"/>
              </w:rPr>
              <w:t xml:space="preserve"> other</w:t>
            </w:r>
            <w:r w:rsidR="00331266" w:rsidRPr="004A0F32">
              <w:rPr>
                <w:rFonts w:ascii="Garamond" w:hAnsi="Garamond"/>
              </w:rPr>
              <w:t xml:space="preserve"> </w:t>
            </w:r>
            <w:r w:rsidR="00A67A2C">
              <w:rPr>
                <w:rFonts w:ascii="Garamond" w:hAnsi="Garamond"/>
              </w:rPr>
              <w:t>reading materials listed below</w:t>
            </w:r>
            <w:r w:rsidR="00331266" w:rsidRPr="004A0F32">
              <w:rPr>
                <w:rFonts w:ascii="Garamond" w:hAnsi="Garamond"/>
              </w:rPr>
              <w:t xml:space="preserve"> are </w:t>
            </w:r>
            <w:r w:rsidR="00A67A2C">
              <w:rPr>
                <w:rFonts w:ascii="Garamond" w:hAnsi="Garamond"/>
              </w:rPr>
              <w:t>hyperlinked for ease of reference</w:t>
            </w:r>
            <w:r w:rsidR="00331266" w:rsidRPr="004A0F32">
              <w:rPr>
                <w:rFonts w:ascii="Garamond" w:hAnsi="Garamond"/>
              </w:rPr>
              <w:t>.</w:t>
            </w:r>
          </w:p>
          <w:p w14:paraId="7CFD5F08" w14:textId="2D99970A" w:rsidR="004A0F32" w:rsidRPr="004A0F32" w:rsidRDefault="004A0F32" w:rsidP="006D781A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46656C" w:rsidRPr="004A0F32" w14:paraId="251B4824" w14:textId="77777777" w:rsidTr="00850B73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A478EC" w14:textId="31C0EE98" w:rsidR="003C6EFF" w:rsidRPr="004A0F32" w:rsidRDefault="00653D4A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lastRenderedPageBreak/>
              <w:t>Textbook</w:t>
            </w:r>
            <w:r w:rsidR="00154224" w:rsidRPr="004A0F32">
              <w:rPr>
                <w:rFonts w:ascii="Garamond" w:hAnsi="Garamond"/>
                <w:b/>
              </w:rPr>
              <w:t>s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763" w14:textId="77777777" w:rsidR="00C50782" w:rsidRPr="004A0F32" w:rsidRDefault="00C50782" w:rsidP="00C50782">
            <w:pPr>
              <w:pStyle w:val="ListParagraph"/>
              <w:rPr>
                <w:rFonts w:ascii="Garamond" w:hAnsi="Garamond"/>
                <w:lang w:val="en-IE"/>
              </w:rPr>
            </w:pPr>
          </w:p>
          <w:p w14:paraId="0DF159BE" w14:textId="34BA754F" w:rsidR="00331266" w:rsidRPr="004A0F32" w:rsidRDefault="00331266" w:rsidP="0098291D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lang w:val="en-IE"/>
              </w:rPr>
            </w:pPr>
            <w:r w:rsidRPr="004A0F32">
              <w:rPr>
                <w:rFonts w:ascii="Garamond" w:hAnsi="Garamond"/>
                <w:lang w:val="en-IE"/>
              </w:rPr>
              <w:t xml:space="preserve">Paola Gaeta, Jorge E. Viñuales, and Salvatore Zappalá, </w:t>
            </w:r>
            <w:r w:rsidRPr="004A0F32">
              <w:rPr>
                <w:rFonts w:ascii="Garamond" w:hAnsi="Garamond"/>
                <w:i/>
                <w:iCs/>
                <w:lang w:val="en-IE"/>
              </w:rPr>
              <w:t xml:space="preserve">Cassese’s International Law </w:t>
            </w:r>
            <w:r w:rsidRPr="004A0F32">
              <w:rPr>
                <w:rFonts w:ascii="Garamond" w:hAnsi="Garamond"/>
                <w:lang w:val="en-IE"/>
              </w:rPr>
              <w:t>(3</w:t>
            </w:r>
            <w:r w:rsidRPr="004A0F32">
              <w:rPr>
                <w:rFonts w:ascii="Garamond" w:hAnsi="Garamond"/>
                <w:vertAlign w:val="superscript"/>
                <w:lang w:val="en-IE"/>
              </w:rPr>
              <w:t>rd</w:t>
            </w:r>
            <w:r w:rsidRPr="004A0F32">
              <w:rPr>
                <w:rFonts w:ascii="Garamond" w:hAnsi="Garamond"/>
                <w:lang w:val="en-IE"/>
              </w:rPr>
              <w:t xml:space="preserve"> edn, Oxford University Press, 2020).</w:t>
            </w:r>
          </w:p>
          <w:p w14:paraId="1B410DA7" w14:textId="77777777" w:rsidR="00331266" w:rsidRPr="004A0F32" w:rsidRDefault="00331266" w:rsidP="00331266">
            <w:pPr>
              <w:rPr>
                <w:rFonts w:ascii="Garamond" w:hAnsi="Garamond"/>
                <w:lang w:val="en-IE"/>
              </w:rPr>
            </w:pPr>
          </w:p>
          <w:p w14:paraId="30AA88A4" w14:textId="2ABD82FA" w:rsidR="00331266" w:rsidRPr="004A0F32" w:rsidRDefault="00331266" w:rsidP="0098291D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  <w:lang w:val="en-IE"/>
              </w:rPr>
            </w:pPr>
            <w:r w:rsidRPr="004A0F32">
              <w:rPr>
                <w:rFonts w:ascii="Garamond" w:hAnsi="Garamond"/>
                <w:lang w:val="en-IE"/>
              </w:rPr>
              <w:t xml:space="preserve">James Crawford, </w:t>
            </w:r>
            <w:r w:rsidRPr="004A0F32">
              <w:rPr>
                <w:rFonts w:ascii="Garamond" w:hAnsi="Garamond"/>
                <w:i/>
                <w:iCs/>
                <w:lang w:val="en-IE"/>
              </w:rPr>
              <w:t xml:space="preserve">Brownlie’s Principles of Public International Law </w:t>
            </w:r>
            <w:r w:rsidRPr="004A0F32">
              <w:rPr>
                <w:rFonts w:ascii="Garamond" w:hAnsi="Garamond"/>
                <w:lang w:val="en-IE"/>
              </w:rPr>
              <w:t>(9</w:t>
            </w:r>
            <w:r w:rsidRPr="004A0F32">
              <w:rPr>
                <w:rFonts w:ascii="Garamond" w:hAnsi="Garamond"/>
                <w:vertAlign w:val="superscript"/>
                <w:lang w:val="en-IE"/>
              </w:rPr>
              <w:t>th</w:t>
            </w:r>
            <w:r w:rsidRPr="004A0F32">
              <w:rPr>
                <w:rFonts w:ascii="Garamond" w:hAnsi="Garamond"/>
                <w:lang w:val="en-IE"/>
              </w:rPr>
              <w:t xml:space="preserve"> edn, Oxford University Press, 2019).</w:t>
            </w:r>
          </w:p>
          <w:p w14:paraId="0B673E24" w14:textId="77777777" w:rsidR="00331266" w:rsidRPr="004A0F32" w:rsidRDefault="00331266" w:rsidP="00F46CC9">
            <w:pPr>
              <w:rPr>
                <w:rFonts w:ascii="Garamond" w:hAnsi="Garamond"/>
              </w:rPr>
            </w:pPr>
          </w:p>
          <w:p w14:paraId="0206AE9F" w14:textId="01295023" w:rsidR="00331266" w:rsidRDefault="004A3551" w:rsidP="0098291D">
            <w:pPr>
              <w:pStyle w:val="ListParagraph"/>
              <w:numPr>
                <w:ilvl w:val="0"/>
                <w:numId w:val="23"/>
              </w:num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Malcolm Shaw, </w:t>
            </w:r>
            <w:r w:rsidRPr="004A0F32">
              <w:rPr>
                <w:rFonts w:ascii="Garamond" w:hAnsi="Garamond"/>
                <w:i/>
              </w:rPr>
              <w:t>International Law</w:t>
            </w:r>
            <w:r w:rsidRPr="004A0F32">
              <w:rPr>
                <w:rFonts w:ascii="Garamond" w:hAnsi="Garamond"/>
              </w:rPr>
              <w:t xml:space="preserve"> </w:t>
            </w:r>
            <w:r w:rsidR="00331266" w:rsidRPr="004A0F32">
              <w:rPr>
                <w:rFonts w:ascii="Garamond" w:hAnsi="Garamond"/>
              </w:rPr>
              <w:t>(</w:t>
            </w:r>
            <w:r w:rsidR="00FA3406">
              <w:rPr>
                <w:rFonts w:ascii="Garamond" w:hAnsi="Garamond"/>
              </w:rPr>
              <w:t>9</w:t>
            </w:r>
            <w:r w:rsidR="00331266" w:rsidRPr="004A0F32">
              <w:rPr>
                <w:rFonts w:ascii="Garamond" w:hAnsi="Garamond"/>
                <w:vertAlign w:val="superscript"/>
              </w:rPr>
              <w:t>th</w:t>
            </w:r>
            <w:r w:rsidR="00331266" w:rsidRPr="004A0F32">
              <w:rPr>
                <w:rFonts w:ascii="Garamond" w:hAnsi="Garamond"/>
              </w:rPr>
              <w:t xml:space="preserve"> edn, </w:t>
            </w:r>
            <w:r w:rsidRPr="004A0F32">
              <w:rPr>
                <w:rFonts w:ascii="Garamond" w:hAnsi="Garamond"/>
              </w:rPr>
              <w:t>Cambridge University Press, 20</w:t>
            </w:r>
            <w:r w:rsidR="00FA3406">
              <w:rPr>
                <w:rFonts w:ascii="Garamond" w:hAnsi="Garamond"/>
              </w:rPr>
              <w:t>21</w:t>
            </w:r>
            <w:r w:rsidR="00331266" w:rsidRPr="004A0F32">
              <w:rPr>
                <w:rFonts w:ascii="Garamond" w:hAnsi="Garamond"/>
              </w:rPr>
              <w:t>)</w:t>
            </w:r>
            <w:r w:rsidRPr="004A0F32">
              <w:rPr>
                <w:rFonts w:ascii="Garamond" w:hAnsi="Garamond"/>
              </w:rPr>
              <w:t>.</w:t>
            </w:r>
          </w:p>
          <w:p w14:paraId="0E45C1AA" w14:textId="77777777" w:rsidR="00FA3406" w:rsidRPr="00FA3406" w:rsidRDefault="00FA3406" w:rsidP="00FA3406">
            <w:pPr>
              <w:pStyle w:val="ListParagraph"/>
              <w:rPr>
                <w:rFonts w:ascii="Garamond" w:hAnsi="Garamond"/>
              </w:rPr>
            </w:pPr>
          </w:p>
          <w:p w14:paraId="5565B25F" w14:textId="77777777" w:rsidR="00331266" w:rsidRPr="000A3A4E" w:rsidRDefault="00331266" w:rsidP="000A3A4E">
            <w:pPr>
              <w:rPr>
                <w:rFonts w:ascii="Garamond" w:hAnsi="Garamond"/>
              </w:rPr>
            </w:pPr>
          </w:p>
          <w:p w14:paraId="32C2F1F6" w14:textId="77777777" w:rsidR="00FA3406" w:rsidRPr="00FA3406" w:rsidRDefault="00FA3406" w:rsidP="00FA3406">
            <w:pPr>
              <w:rPr>
                <w:rFonts w:ascii="Garamond" w:hAnsi="Garamond"/>
              </w:rPr>
            </w:pPr>
          </w:p>
          <w:p w14:paraId="7DBE1107" w14:textId="385A7275" w:rsidR="00331266" w:rsidRDefault="00331266" w:rsidP="00331266">
            <w:p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Generally</w:t>
            </w:r>
            <w:r w:rsidR="00CF6CCE" w:rsidRPr="004A0F32">
              <w:rPr>
                <w:rFonts w:ascii="Garamond" w:hAnsi="Garamond"/>
              </w:rPr>
              <w:t>,</w:t>
            </w:r>
            <w:r w:rsidRPr="004A0F32">
              <w:rPr>
                <w:rFonts w:ascii="Garamond" w:hAnsi="Garamond"/>
              </w:rPr>
              <w:t xml:space="preserve"> it is only necessary to </w:t>
            </w:r>
            <w:r w:rsidR="00437BE5" w:rsidRPr="004A0F32">
              <w:rPr>
                <w:rFonts w:ascii="Garamond" w:hAnsi="Garamond"/>
              </w:rPr>
              <w:t xml:space="preserve">read from </w:t>
            </w:r>
            <w:r w:rsidR="00437BE5" w:rsidRPr="00FA3406">
              <w:rPr>
                <w:rFonts w:ascii="Garamond" w:hAnsi="Garamond"/>
                <w:b/>
                <w:bCs/>
                <w:u w:val="single"/>
              </w:rPr>
              <w:t>one</w:t>
            </w:r>
            <w:r w:rsidR="00437BE5" w:rsidRPr="004A0F32">
              <w:rPr>
                <w:rFonts w:ascii="Garamond" w:hAnsi="Garamond"/>
              </w:rPr>
              <w:t xml:space="preserve"> of the above textbooks</w:t>
            </w:r>
            <w:r w:rsidR="000D1070">
              <w:rPr>
                <w:rFonts w:ascii="Garamond" w:hAnsi="Garamond"/>
              </w:rPr>
              <w:t xml:space="preserve"> when preparing for class.</w:t>
            </w:r>
            <w:r w:rsidR="00A67A2C">
              <w:rPr>
                <w:rFonts w:ascii="Garamond" w:hAnsi="Garamond"/>
              </w:rPr>
              <w:t xml:space="preserve"> H</w:t>
            </w:r>
            <w:r w:rsidR="00437BE5" w:rsidRPr="004A0F32">
              <w:rPr>
                <w:rFonts w:ascii="Garamond" w:hAnsi="Garamond"/>
              </w:rPr>
              <w:t xml:space="preserve">owever </w:t>
            </w:r>
            <w:r w:rsidR="00A67A2C">
              <w:rPr>
                <w:rFonts w:ascii="Garamond" w:hAnsi="Garamond"/>
              </w:rPr>
              <w:t>for</w:t>
            </w:r>
            <w:r w:rsidR="00437BE5" w:rsidRPr="004A0F32">
              <w:rPr>
                <w:rFonts w:ascii="Garamond" w:hAnsi="Garamond"/>
              </w:rPr>
              <w:t xml:space="preserve"> some topics</w:t>
            </w:r>
            <w:r w:rsidR="0098291D" w:rsidRPr="004A0F32">
              <w:rPr>
                <w:rFonts w:ascii="Garamond" w:hAnsi="Garamond"/>
              </w:rPr>
              <w:t>,</w:t>
            </w:r>
            <w:r w:rsidR="00437BE5" w:rsidRPr="004A0F32">
              <w:rPr>
                <w:rFonts w:ascii="Garamond" w:hAnsi="Garamond"/>
              </w:rPr>
              <w:t xml:space="preserve"> one </w:t>
            </w:r>
            <w:r w:rsidR="00A67A2C">
              <w:rPr>
                <w:rFonts w:ascii="Garamond" w:hAnsi="Garamond"/>
              </w:rPr>
              <w:t xml:space="preserve">book </w:t>
            </w:r>
            <w:r w:rsidR="00437BE5" w:rsidRPr="004A0F32">
              <w:rPr>
                <w:rFonts w:ascii="Garamond" w:hAnsi="Garamond"/>
              </w:rPr>
              <w:t xml:space="preserve">might have more information than the others. </w:t>
            </w:r>
            <w:r w:rsidR="00B23A58" w:rsidRPr="004A0F32">
              <w:rPr>
                <w:rFonts w:ascii="Garamond" w:hAnsi="Garamond"/>
              </w:rPr>
              <w:t xml:space="preserve">Previous editions are also available </w:t>
            </w:r>
            <w:r w:rsidR="00154224" w:rsidRPr="004A0F32">
              <w:rPr>
                <w:rFonts w:ascii="Garamond" w:hAnsi="Garamond"/>
              </w:rPr>
              <w:t>in the library—if the most up to date edition is unavailable</w:t>
            </w:r>
            <w:r w:rsidR="0098291D" w:rsidRPr="004A0F32">
              <w:rPr>
                <w:rFonts w:ascii="Garamond" w:hAnsi="Garamond"/>
              </w:rPr>
              <w:t>, prior editions</w:t>
            </w:r>
            <w:r w:rsidR="00154224" w:rsidRPr="004A0F32">
              <w:rPr>
                <w:rFonts w:ascii="Garamond" w:hAnsi="Garamond"/>
              </w:rPr>
              <w:t xml:space="preserve"> will suffice.</w:t>
            </w:r>
          </w:p>
          <w:p w14:paraId="57D1109E" w14:textId="77777777" w:rsidR="00FA3406" w:rsidRDefault="00FA3406" w:rsidP="00331266">
            <w:pPr>
              <w:rPr>
                <w:rFonts w:ascii="Garamond" w:hAnsi="Garamond"/>
              </w:rPr>
            </w:pPr>
          </w:p>
          <w:p w14:paraId="1FAB0D37" w14:textId="4A1F02FF" w:rsidR="00FA3406" w:rsidRPr="004A0F32" w:rsidRDefault="00A67A2C" w:rsidP="00331266">
            <w:pPr>
              <w:rPr>
                <w:rFonts w:ascii="Garamond" w:hAnsi="Garamond"/>
              </w:rPr>
            </w:pPr>
            <w:r w:rsidRPr="00A67A2C">
              <w:rPr>
                <w:rFonts w:ascii="Garamond" w:hAnsi="Garamond"/>
                <w:u w:val="single"/>
              </w:rPr>
              <w:t>Note</w:t>
            </w:r>
            <w:r>
              <w:rPr>
                <w:rFonts w:ascii="Garamond" w:hAnsi="Garamond"/>
              </w:rPr>
              <w:t xml:space="preserve">: </w:t>
            </w:r>
            <w:r w:rsidR="00FA3406">
              <w:rPr>
                <w:rFonts w:ascii="Garamond" w:hAnsi="Garamond"/>
              </w:rPr>
              <w:t xml:space="preserve">The book by Shaw </w:t>
            </w:r>
            <w:r w:rsidR="000A3A4E">
              <w:rPr>
                <w:rFonts w:ascii="Garamond" w:hAnsi="Garamond"/>
              </w:rPr>
              <w:t>is</w:t>
            </w:r>
            <w:r w:rsidR="00FA3406">
              <w:rPr>
                <w:rFonts w:ascii="Garamond" w:hAnsi="Garamond"/>
              </w:rPr>
              <w:t xml:space="preserve"> available online via the University library website. </w:t>
            </w:r>
          </w:p>
          <w:p w14:paraId="36C6B142" w14:textId="77777777" w:rsidR="00CF6CCE" w:rsidRPr="004A0F32" w:rsidRDefault="00CF6CCE" w:rsidP="00331266">
            <w:pPr>
              <w:rPr>
                <w:rFonts w:ascii="Garamond" w:hAnsi="Garamond"/>
              </w:rPr>
            </w:pPr>
          </w:p>
          <w:p w14:paraId="1592156F" w14:textId="334F1F69" w:rsidR="00CF6CCE" w:rsidRPr="004A0F32" w:rsidRDefault="00CF6CCE" w:rsidP="00331266">
            <w:pPr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Further reading is included for each session below.</w:t>
            </w:r>
          </w:p>
          <w:p w14:paraId="26BFBF51" w14:textId="1A146930" w:rsidR="00331266" w:rsidRPr="004A0F32" w:rsidRDefault="00331266" w:rsidP="00331266">
            <w:pPr>
              <w:rPr>
                <w:rFonts w:ascii="Garamond" w:hAnsi="Garamond"/>
              </w:rPr>
            </w:pPr>
          </w:p>
        </w:tc>
      </w:tr>
      <w:tr w:rsidR="0046656C" w:rsidRPr="004A0F32" w14:paraId="052BA299" w14:textId="77777777" w:rsidTr="00850B73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E7FEF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4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Assessment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ADD" w14:textId="77777777" w:rsidR="00154224" w:rsidRPr="004A0F32" w:rsidRDefault="00154224" w:rsidP="00154224">
            <w:pPr>
              <w:tabs>
                <w:tab w:val="left" w:pos="-720"/>
                <w:tab w:val="left" w:pos="0"/>
                <w:tab w:val="num" w:pos="1080"/>
              </w:tabs>
              <w:spacing w:before="60"/>
              <w:ind w:right="85"/>
              <w:rPr>
                <w:rFonts w:ascii="Garamond" w:hAnsi="Garamond"/>
              </w:rPr>
            </w:pPr>
          </w:p>
          <w:p w14:paraId="400AA822" w14:textId="7C96A2C2" w:rsidR="003C6EFF" w:rsidRPr="004A0F32" w:rsidRDefault="00B75C06" w:rsidP="00154224">
            <w:pPr>
              <w:tabs>
                <w:tab w:val="left" w:pos="-720"/>
                <w:tab w:val="left" w:pos="0"/>
                <w:tab w:val="num" w:pos="1080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>This course is assessed by</w:t>
            </w:r>
            <w:r w:rsidR="00154224" w:rsidRPr="004A0F32">
              <w:rPr>
                <w:rFonts w:ascii="Garamond" w:hAnsi="Garamond"/>
              </w:rPr>
              <w:t xml:space="preserve"> a </w:t>
            </w:r>
            <w:r w:rsidR="00C15C20" w:rsidRPr="004A0F32">
              <w:rPr>
                <w:rFonts w:ascii="Garamond" w:hAnsi="Garamond"/>
              </w:rPr>
              <w:t>5,000-word</w:t>
            </w:r>
            <w:r w:rsidR="00154224" w:rsidRPr="004A0F32">
              <w:rPr>
                <w:rFonts w:ascii="Garamond" w:hAnsi="Garamond"/>
              </w:rPr>
              <w:t xml:space="preserve"> essay (</w:t>
            </w:r>
            <w:r w:rsidR="00CF6CCE" w:rsidRPr="004A0F32">
              <w:rPr>
                <w:rFonts w:ascii="Garamond" w:hAnsi="Garamond"/>
              </w:rPr>
              <w:t>including</w:t>
            </w:r>
            <w:r w:rsidR="00154224" w:rsidRPr="004A0F32">
              <w:rPr>
                <w:rFonts w:ascii="Garamond" w:hAnsi="Garamond"/>
              </w:rPr>
              <w:t xml:space="preserve"> footnotes</w:t>
            </w:r>
            <w:r w:rsidR="00CF6CCE" w:rsidRPr="004A0F32">
              <w:rPr>
                <w:rFonts w:ascii="Garamond" w:hAnsi="Garamond"/>
              </w:rPr>
              <w:t>, excluding table of contents and bibliography</w:t>
            </w:r>
            <w:r w:rsidR="00154224" w:rsidRPr="004A0F32">
              <w:rPr>
                <w:rFonts w:ascii="Garamond" w:hAnsi="Garamond"/>
              </w:rPr>
              <w:t>) on a topic to be agreed with the teaching team.</w:t>
            </w:r>
            <w:r w:rsidR="00CF6CCE" w:rsidRPr="004A0F32">
              <w:rPr>
                <w:rFonts w:ascii="Garamond" w:hAnsi="Garamond"/>
              </w:rPr>
              <w:t xml:space="preserve"> </w:t>
            </w:r>
            <w:r w:rsidR="00CF6CCE" w:rsidRPr="004A0F32">
              <w:rPr>
                <w:rFonts w:ascii="Garamond" w:hAnsi="Garamond"/>
                <w:lang w:val="en-IE"/>
              </w:rPr>
              <w:t>Essays should demonstrate significant research, familiarity with the literature, independent thought, and critical analysis.</w:t>
            </w:r>
          </w:p>
          <w:p w14:paraId="17D944A8" w14:textId="6E2CAF0F" w:rsidR="00154224" w:rsidRPr="004A0F32" w:rsidRDefault="00154224" w:rsidP="00154224">
            <w:pPr>
              <w:tabs>
                <w:tab w:val="left" w:pos="-720"/>
                <w:tab w:val="left" w:pos="0"/>
                <w:tab w:val="num" w:pos="1080"/>
              </w:tabs>
              <w:spacing w:before="60"/>
              <w:ind w:right="85"/>
              <w:rPr>
                <w:rFonts w:ascii="Garamond" w:hAnsi="Garamond"/>
              </w:rPr>
            </w:pPr>
          </w:p>
        </w:tc>
      </w:tr>
      <w:tr w:rsidR="0046656C" w:rsidRPr="004A0F32" w14:paraId="337F75A9" w14:textId="77777777" w:rsidTr="00850B73"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97895" w14:textId="77777777" w:rsidR="003C6EFF" w:rsidRPr="004A0F32" w:rsidRDefault="003C6EFF" w:rsidP="00F46CC9">
            <w:pPr>
              <w:tabs>
                <w:tab w:val="left" w:pos="-720"/>
              </w:tabs>
              <w:spacing w:before="100" w:beforeAutospacing="1"/>
              <w:ind w:right="85"/>
              <w:jc w:val="center"/>
              <w:rPr>
                <w:rFonts w:ascii="Garamond" w:hAnsi="Garamond"/>
                <w:b/>
              </w:rPr>
            </w:pPr>
            <w:r w:rsidRPr="004A0F32">
              <w:rPr>
                <w:rFonts w:ascii="Garamond" w:hAnsi="Garamond"/>
                <w:b/>
              </w:rPr>
              <w:t>Workload hours</w:t>
            </w:r>
          </w:p>
        </w:tc>
        <w:tc>
          <w:tcPr>
            <w:tcW w:w="39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344" w14:textId="77777777" w:rsidR="00154224" w:rsidRPr="004A0F32" w:rsidRDefault="00154224" w:rsidP="00F46CC9">
            <w:pPr>
              <w:tabs>
                <w:tab w:val="right" w:pos="-720"/>
                <w:tab w:val="left" w:pos="0"/>
                <w:tab w:val="num" w:pos="1080"/>
                <w:tab w:val="left" w:pos="3616"/>
              </w:tabs>
              <w:spacing w:before="60"/>
              <w:ind w:right="85"/>
              <w:rPr>
                <w:rFonts w:ascii="Garamond" w:hAnsi="Garamond"/>
              </w:rPr>
            </w:pPr>
          </w:p>
          <w:p w14:paraId="673D9855" w14:textId="399E7848" w:rsidR="003C6EFF" w:rsidRPr="004A0F32" w:rsidRDefault="00E87F60" w:rsidP="00F46CC9">
            <w:pPr>
              <w:tabs>
                <w:tab w:val="right" w:pos="-720"/>
                <w:tab w:val="left" w:pos="0"/>
                <w:tab w:val="num" w:pos="1080"/>
                <w:tab w:val="left" w:pos="3616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Credit weighting: </w:t>
            </w:r>
            <w:r w:rsidR="0000349B" w:rsidRPr="004A0F32">
              <w:rPr>
                <w:rFonts w:ascii="Garamond" w:hAnsi="Garamond"/>
              </w:rPr>
              <w:t>10</w:t>
            </w:r>
            <w:r w:rsidR="003C6EFF" w:rsidRPr="004A0F32">
              <w:rPr>
                <w:rFonts w:ascii="Garamond" w:hAnsi="Garamond"/>
              </w:rPr>
              <w:t xml:space="preserve"> ECT </w:t>
            </w:r>
          </w:p>
          <w:p w14:paraId="27350F73" w14:textId="77777777" w:rsidR="003C6EFF" w:rsidRPr="004A0F32" w:rsidRDefault="00E87F60" w:rsidP="00F46CC9">
            <w:pPr>
              <w:tabs>
                <w:tab w:val="right" w:pos="-720"/>
                <w:tab w:val="left" w:pos="0"/>
                <w:tab w:val="num" w:pos="1080"/>
                <w:tab w:val="left" w:pos="3616"/>
              </w:tabs>
              <w:spacing w:before="60"/>
              <w:ind w:right="85"/>
              <w:rPr>
                <w:rFonts w:ascii="Garamond" w:hAnsi="Garamond"/>
              </w:rPr>
            </w:pPr>
            <w:r w:rsidRPr="004A0F32">
              <w:rPr>
                <w:rFonts w:ascii="Garamond" w:hAnsi="Garamond"/>
              </w:rPr>
              <w:t xml:space="preserve">Total Student Effort: </w:t>
            </w:r>
            <w:r w:rsidR="0000349B" w:rsidRPr="004A0F32">
              <w:rPr>
                <w:rFonts w:ascii="Garamond" w:hAnsi="Garamond"/>
              </w:rPr>
              <w:t>250</w:t>
            </w:r>
            <w:r w:rsidR="003C6EFF" w:rsidRPr="004A0F32">
              <w:rPr>
                <w:rFonts w:ascii="Garamond" w:hAnsi="Garamond"/>
              </w:rPr>
              <w:t xml:space="preserve"> </w:t>
            </w:r>
            <w:r w:rsidRPr="004A0F32">
              <w:rPr>
                <w:rFonts w:ascii="Garamond" w:hAnsi="Garamond"/>
              </w:rPr>
              <w:t xml:space="preserve">hours </w:t>
            </w:r>
            <w:r w:rsidR="0000349B" w:rsidRPr="004A0F32">
              <w:rPr>
                <w:rFonts w:ascii="Garamond" w:hAnsi="Garamond"/>
              </w:rPr>
              <w:t>for 10</w:t>
            </w:r>
            <w:r w:rsidR="003C6EFF" w:rsidRPr="004A0F32">
              <w:rPr>
                <w:rFonts w:ascii="Garamond" w:hAnsi="Garamond"/>
              </w:rPr>
              <w:t xml:space="preserve"> ECT</w:t>
            </w:r>
          </w:p>
          <w:p w14:paraId="4109E413" w14:textId="77777777" w:rsidR="00154224" w:rsidRPr="004A0F32" w:rsidRDefault="00154224" w:rsidP="00F46CC9">
            <w:pPr>
              <w:tabs>
                <w:tab w:val="right" w:pos="-720"/>
                <w:tab w:val="left" w:pos="0"/>
                <w:tab w:val="num" w:pos="1080"/>
                <w:tab w:val="left" w:pos="3616"/>
              </w:tabs>
              <w:spacing w:before="60"/>
              <w:ind w:right="85"/>
              <w:rPr>
                <w:rFonts w:ascii="Garamond" w:hAnsi="Garamond"/>
              </w:rPr>
            </w:pPr>
          </w:p>
        </w:tc>
      </w:tr>
      <w:bookmarkEnd w:id="0"/>
    </w:tbl>
    <w:p w14:paraId="3BD1962F" w14:textId="77777777" w:rsidR="003C6EFF" w:rsidRPr="004A0F32" w:rsidRDefault="003C6EFF" w:rsidP="00F46CC9">
      <w:pPr>
        <w:pStyle w:val="Heading2"/>
        <w:jc w:val="left"/>
        <w:rPr>
          <w:rFonts w:ascii="Garamond" w:hAnsi="Garamond"/>
        </w:rPr>
      </w:pPr>
    </w:p>
    <w:p w14:paraId="727B4EFB" w14:textId="77777777" w:rsidR="003C6EFF" w:rsidRPr="004A0F32" w:rsidRDefault="003C6EFF" w:rsidP="00F46CC9">
      <w:pPr>
        <w:pStyle w:val="Heading2"/>
        <w:jc w:val="left"/>
        <w:rPr>
          <w:rFonts w:ascii="Garamond" w:hAnsi="Garamond"/>
        </w:rPr>
      </w:pPr>
      <w:r w:rsidRPr="004A0F32">
        <w:rPr>
          <w:rFonts w:ascii="Garamond" w:hAnsi="Garamond"/>
        </w:rPr>
        <w:br w:type="page"/>
      </w:r>
    </w:p>
    <w:p w14:paraId="7F91DF14" w14:textId="029C9A22" w:rsidR="003C6EFF" w:rsidRPr="004A0F32" w:rsidRDefault="00B04788" w:rsidP="00F46CC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left"/>
        <w:rPr>
          <w:rFonts w:ascii="Garamond" w:hAnsi="Garamond"/>
        </w:rPr>
      </w:pPr>
      <w:r w:rsidRPr="004A0F32">
        <w:rPr>
          <w:rFonts w:ascii="Garamond" w:hAnsi="Garamond"/>
        </w:rPr>
        <w:lastRenderedPageBreak/>
        <w:t>Class Topics:</w:t>
      </w:r>
    </w:p>
    <w:p w14:paraId="158C7838" w14:textId="5D8E8626" w:rsidR="00022973" w:rsidRPr="004A0F32" w:rsidRDefault="00022973" w:rsidP="00DB28C0">
      <w:pPr>
        <w:spacing w:line="276" w:lineRule="auto"/>
        <w:rPr>
          <w:rFonts w:ascii="Garamond" w:hAnsi="Garamond"/>
          <w:u w:val="single"/>
        </w:rPr>
      </w:pPr>
    </w:p>
    <w:p w14:paraId="6EEC17B1" w14:textId="30DD9D5E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t>History and Subjects of Public International Law</w:t>
      </w:r>
      <w:r w:rsidR="00C656FC" w:rsidRPr="004A0F32">
        <w:rPr>
          <w:rFonts w:ascii="Garamond" w:hAnsi="Garamond"/>
          <w:b/>
          <w:bCs/>
        </w:rPr>
        <w:t xml:space="preserve"> (Week 2, Tuesday 17</w:t>
      </w:r>
      <w:r w:rsidR="00C656FC" w:rsidRPr="004A0F32">
        <w:rPr>
          <w:rFonts w:ascii="Garamond" w:hAnsi="Garamond"/>
          <w:b/>
          <w:bCs/>
          <w:vertAlign w:val="superscript"/>
        </w:rPr>
        <w:t>th</w:t>
      </w:r>
      <w:r w:rsidR="00C656FC" w:rsidRPr="004A0F32">
        <w:rPr>
          <w:rFonts w:ascii="Garamond" w:hAnsi="Garamond"/>
          <w:b/>
          <w:bCs/>
        </w:rPr>
        <w:t xml:space="preserve"> September)</w:t>
      </w:r>
    </w:p>
    <w:p w14:paraId="7255E000" w14:textId="6F4258FF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637F6632" w14:textId="3AED9939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Chapter 2, pp.79-91</w:t>
      </w:r>
      <w:r w:rsidR="000454AE" w:rsidRPr="004A0F32">
        <w:rPr>
          <w:rFonts w:ascii="Garamond" w:hAnsi="Garamond"/>
        </w:rPr>
        <w:t xml:space="preserve"> &amp;</w:t>
      </w:r>
      <w:r w:rsidRPr="004A0F32">
        <w:rPr>
          <w:rFonts w:ascii="Garamond" w:hAnsi="Garamond"/>
        </w:rPr>
        <w:t xml:space="preserve"> 140-177.</w:t>
      </w:r>
    </w:p>
    <w:p w14:paraId="2980724B" w14:textId="481C04A3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 xml:space="preserve">Brownlie, pp.3-6, </w:t>
      </w:r>
      <w:r w:rsidR="000454AE" w:rsidRPr="004A0F32">
        <w:rPr>
          <w:rFonts w:ascii="Garamond" w:hAnsi="Garamond"/>
        </w:rPr>
        <w:t xml:space="preserve">&amp; </w:t>
      </w:r>
      <w:r w:rsidRPr="004A0F32">
        <w:rPr>
          <w:rFonts w:ascii="Garamond" w:hAnsi="Garamond"/>
        </w:rPr>
        <w:t xml:space="preserve">Chapter 4. For more detail on states and international organisations </w:t>
      </w:r>
      <w:r w:rsidRPr="004A0F32">
        <w:rPr>
          <w:rFonts w:ascii="Garamond" w:hAnsi="Garamond"/>
          <w:i/>
          <w:iCs/>
        </w:rPr>
        <w:t xml:space="preserve">see </w:t>
      </w:r>
      <w:r w:rsidRPr="004A0F32">
        <w:rPr>
          <w:rFonts w:ascii="Garamond" w:hAnsi="Garamond"/>
        </w:rPr>
        <w:t>Chapters 5-7.</w:t>
      </w:r>
    </w:p>
    <w:p w14:paraId="3FAD70D3" w14:textId="50B1BD49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pp.</w:t>
      </w:r>
      <w:r w:rsidR="00A67A2C">
        <w:rPr>
          <w:rFonts w:ascii="Garamond" w:hAnsi="Garamond"/>
        </w:rPr>
        <w:t>1</w:t>
      </w:r>
      <w:r w:rsidR="000A3A4E">
        <w:rPr>
          <w:rFonts w:ascii="Garamond" w:hAnsi="Garamond"/>
        </w:rPr>
        <w:t>1</w:t>
      </w:r>
      <w:r w:rsidRPr="004A0F32">
        <w:rPr>
          <w:rFonts w:ascii="Garamond" w:hAnsi="Garamond"/>
        </w:rPr>
        <w:t>-3</w:t>
      </w:r>
      <w:r w:rsidR="000A3A4E">
        <w:rPr>
          <w:rFonts w:ascii="Garamond" w:hAnsi="Garamond"/>
        </w:rPr>
        <w:t>5</w:t>
      </w:r>
      <w:r w:rsidRPr="004A0F32">
        <w:rPr>
          <w:rFonts w:ascii="Garamond" w:hAnsi="Garamond"/>
        </w:rPr>
        <w:t xml:space="preserve"> </w:t>
      </w:r>
      <w:r w:rsidR="000454AE" w:rsidRPr="004A0F32">
        <w:rPr>
          <w:rFonts w:ascii="Garamond" w:hAnsi="Garamond"/>
        </w:rPr>
        <w:t xml:space="preserve">&amp; </w:t>
      </w:r>
      <w:r w:rsidRPr="004A0F32">
        <w:rPr>
          <w:rFonts w:ascii="Garamond" w:hAnsi="Garamond"/>
        </w:rPr>
        <w:t>Chapter 5.</w:t>
      </w:r>
    </w:p>
    <w:p w14:paraId="7BCE36B9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</w:p>
    <w:p w14:paraId="311662E0" w14:textId="0B90F876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42DBF508" w14:textId="1D6D0B5A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  <w:b/>
          <w:bCs/>
        </w:rPr>
      </w:pPr>
      <w:r w:rsidRPr="004A0F32">
        <w:rPr>
          <w:rFonts w:ascii="Garamond" w:hAnsi="Garamond"/>
        </w:rPr>
        <w:t>Martti Koskenniemi, ‘</w:t>
      </w:r>
      <w:hyperlink r:id="rId9" w:history="1">
        <w:r w:rsidRPr="004A0F32">
          <w:rPr>
            <w:rStyle w:val="Hyperlink"/>
            <w:rFonts w:ascii="Garamond" w:hAnsi="Garamond"/>
          </w:rPr>
          <w:t>History of International Law, since World War II’</w:t>
        </w:r>
      </w:hyperlink>
      <w:r w:rsidRPr="004A0F32">
        <w:rPr>
          <w:rFonts w:ascii="Garamond" w:hAnsi="Garamond"/>
        </w:rPr>
        <w:t xml:space="preserve">, </w:t>
      </w:r>
      <w:r w:rsidRPr="004A0F32">
        <w:rPr>
          <w:rFonts w:ascii="Garamond" w:hAnsi="Garamond"/>
          <w:i/>
          <w:iCs/>
        </w:rPr>
        <w:t>Max Planck Encyclopaedia of International Law</w:t>
      </w:r>
      <w:r w:rsidRPr="004A0F32">
        <w:rPr>
          <w:rFonts w:ascii="Garamond" w:hAnsi="Garamond"/>
        </w:rPr>
        <w:t xml:space="preserve">. </w:t>
      </w:r>
    </w:p>
    <w:p w14:paraId="300DE7AD" w14:textId="5E31BABE" w:rsidR="00F7121F" w:rsidRPr="004A0F32" w:rsidRDefault="004E6438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hyperlink r:id="rId10" w:history="1">
        <w:r w:rsidR="00F7121F" w:rsidRPr="004A0F32">
          <w:rPr>
            <w:rStyle w:val="Hyperlink"/>
            <w:rFonts w:ascii="Garamond" w:hAnsi="Garamond"/>
            <w:i/>
            <w:iCs/>
          </w:rPr>
          <w:t>Montevideo Convention on the Rights and Duties of States</w:t>
        </w:r>
      </w:hyperlink>
      <w:r w:rsidR="00F7121F" w:rsidRPr="004A0F32">
        <w:rPr>
          <w:rFonts w:ascii="Garamond" w:hAnsi="Garamond"/>
          <w:i/>
          <w:iCs/>
        </w:rPr>
        <w:t xml:space="preserve"> </w:t>
      </w:r>
      <w:r w:rsidR="00F7121F" w:rsidRPr="004A0F32">
        <w:rPr>
          <w:rFonts w:ascii="Garamond" w:hAnsi="Garamond"/>
        </w:rPr>
        <w:t>(adopted 26 December 1933, entry into force 26 December 1934).</w:t>
      </w:r>
    </w:p>
    <w:p w14:paraId="207DA1E1" w14:textId="76041FA6" w:rsidR="00F7121F" w:rsidRPr="004A0F32" w:rsidRDefault="004E6438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hyperlink r:id="rId11" w:history="1">
        <w:r w:rsidR="00F7121F" w:rsidRPr="004A0F32">
          <w:rPr>
            <w:rStyle w:val="Hyperlink"/>
            <w:rFonts w:ascii="Garamond" w:hAnsi="Garamond"/>
            <w:i/>
            <w:iCs/>
          </w:rPr>
          <w:t>Reparation for injuries suffer</w:t>
        </w:r>
        <w:r w:rsidR="00F7121F" w:rsidRPr="004A0F32">
          <w:rPr>
            <w:rStyle w:val="Hyperlink"/>
            <w:rFonts w:ascii="Garamond" w:hAnsi="Garamond"/>
            <w:i/>
            <w:iCs/>
          </w:rPr>
          <w:t>e</w:t>
        </w:r>
        <w:r w:rsidR="00F7121F" w:rsidRPr="004A0F32">
          <w:rPr>
            <w:rStyle w:val="Hyperlink"/>
            <w:rFonts w:ascii="Garamond" w:hAnsi="Garamond"/>
            <w:i/>
            <w:iCs/>
          </w:rPr>
          <w:t>d in the service of the United Nations, Advisory Opinion</w:t>
        </w:r>
      </w:hyperlink>
      <w:r w:rsidR="00F7121F" w:rsidRPr="004A0F32">
        <w:rPr>
          <w:rFonts w:ascii="Garamond" w:hAnsi="Garamond"/>
          <w:i/>
          <w:iCs/>
        </w:rPr>
        <w:t>, ICJ Reports 1949</w:t>
      </w:r>
      <w:r w:rsidR="00F7121F" w:rsidRPr="004A0F32">
        <w:rPr>
          <w:rFonts w:ascii="Garamond" w:hAnsi="Garamond"/>
        </w:rPr>
        <w:t>.</w:t>
      </w:r>
    </w:p>
    <w:p w14:paraId="0EB7F9E7" w14:textId="77777777" w:rsidR="00F7121F" w:rsidRPr="004A0F32" w:rsidRDefault="00F7121F" w:rsidP="00F7121F">
      <w:pPr>
        <w:rPr>
          <w:rFonts w:ascii="Garamond" w:hAnsi="Garamond"/>
        </w:rPr>
      </w:pPr>
    </w:p>
    <w:p w14:paraId="42FAB922" w14:textId="0439CDE6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t>Jurisdiction and Immunities</w:t>
      </w:r>
      <w:r w:rsidR="00C656FC" w:rsidRPr="004A0F32">
        <w:rPr>
          <w:rFonts w:ascii="Garamond" w:hAnsi="Garamond"/>
          <w:b/>
          <w:bCs/>
        </w:rPr>
        <w:t xml:space="preserve"> (Week 3, Tuesday </w:t>
      </w:r>
      <w:r w:rsidR="005D002F" w:rsidRPr="004A0F32">
        <w:rPr>
          <w:rFonts w:ascii="Garamond" w:hAnsi="Garamond"/>
          <w:b/>
          <w:bCs/>
        </w:rPr>
        <w:t>24</w:t>
      </w:r>
      <w:r w:rsidR="00C656FC" w:rsidRPr="004A0F32">
        <w:rPr>
          <w:rFonts w:ascii="Garamond" w:hAnsi="Garamond"/>
          <w:b/>
          <w:bCs/>
          <w:vertAlign w:val="superscript"/>
        </w:rPr>
        <w:t>th</w:t>
      </w:r>
      <w:r w:rsidR="00C656FC" w:rsidRPr="004A0F32">
        <w:rPr>
          <w:rFonts w:ascii="Garamond" w:hAnsi="Garamond"/>
          <w:b/>
          <w:bCs/>
        </w:rPr>
        <w:t xml:space="preserve"> September)</w:t>
      </w:r>
    </w:p>
    <w:p w14:paraId="279D1941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50DEAC87" w14:textId="26C38A55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Chapter 5</w:t>
      </w:r>
      <w:r w:rsidR="004F0A2A">
        <w:rPr>
          <w:rFonts w:ascii="Garamond" w:hAnsi="Garamond"/>
        </w:rPr>
        <w:t>-</w:t>
      </w:r>
      <w:r w:rsidRPr="004A0F32">
        <w:rPr>
          <w:rFonts w:ascii="Garamond" w:hAnsi="Garamond"/>
        </w:rPr>
        <w:t>6.</w:t>
      </w:r>
    </w:p>
    <w:p w14:paraId="098D8FB0" w14:textId="08042E3F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</w:t>
      </w:r>
      <w:r w:rsidR="000454AE" w:rsidRPr="004A0F32"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20</w:t>
      </w:r>
      <w:r w:rsidR="004F0A2A">
        <w:rPr>
          <w:rFonts w:ascii="Garamond" w:hAnsi="Garamond"/>
        </w:rPr>
        <w:t>-</w:t>
      </w:r>
      <w:r w:rsidRPr="004A0F32">
        <w:rPr>
          <w:rFonts w:ascii="Garamond" w:hAnsi="Garamond"/>
        </w:rPr>
        <w:t>22.</w:t>
      </w:r>
    </w:p>
    <w:p w14:paraId="16CE01D8" w14:textId="2C671654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</w:t>
      </w:r>
      <w:r w:rsidR="000454AE" w:rsidRPr="004A0F32"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11</w:t>
      </w:r>
      <w:r w:rsidR="004F0A2A">
        <w:rPr>
          <w:rFonts w:ascii="Garamond" w:hAnsi="Garamond"/>
        </w:rPr>
        <w:t>-</w:t>
      </w:r>
      <w:r w:rsidRPr="004A0F32">
        <w:rPr>
          <w:rFonts w:ascii="Garamond" w:hAnsi="Garamond"/>
        </w:rPr>
        <w:t>12.</w:t>
      </w:r>
    </w:p>
    <w:p w14:paraId="78298A11" w14:textId="77777777" w:rsidR="00F7121F" w:rsidRPr="004A0F32" w:rsidRDefault="00F7121F" w:rsidP="00F7121F">
      <w:pPr>
        <w:ind w:left="720"/>
        <w:rPr>
          <w:rFonts w:ascii="Garamond" w:hAnsi="Garamond"/>
        </w:rPr>
      </w:pPr>
    </w:p>
    <w:p w14:paraId="6CA29CC4" w14:textId="731519F0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62D79037" w14:textId="77777777" w:rsidR="008A5564" w:rsidRPr="004A0F32" w:rsidRDefault="00F7121F" w:rsidP="008A5564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Bernard H Oxman, ‘</w:t>
      </w:r>
      <w:hyperlink r:id="rId12" w:history="1">
        <w:r w:rsidRPr="004A0F32">
          <w:rPr>
            <w:rStyle w:val="Hyperlink"/>
            <w:rFonts w:ascii="Garamond" w:hAnsi="Garamond"/>
          </w:rPr>
          <w:t>Jurisdiction of States’</w:t>
        </w:r>
      </w:hyperlink>
      <w:r w:rsidRPr="004A0F32">
        <w:rPr>
          <w:rFonts w:ascii="Garamond" w:hAnsi="Garamond"/>
        </w:rPr>
        <w:t xml:space="preserve">, </w:t>
      </w:r>
      <w:r w:rsidRPr="004A0F32">
        <w:rPr>
          <w:rFonts w:ascii="Garamond" w:hAnsi="Garamond"/>
          <w:i/>
          <w:iCs/>
        </w:rPr>
        <w:t>Max Planck Encyclopaedia of International Law</w:t>
      </w:r>
      <w:r w:rsidR="00B04788" w:rsidRPr="004A0F32">
        <w:rPr>
          <w:rFonts w:ascii="Garamond" w:hAnsi="Garamond"/>
        </w:rPr>
        <w:t>.</w:t>
      </w:r>
    </w:p>
    <w:p w14:paraId="0200AB49" w14:textId="58E0C696" w:rsidR="008A5564" w:rsidRPr="004A0F32" w:rsidRDefault="008A5564" w:rsidP="008A5564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 w:cs="Arial"/>
          <w:bCs/>
          <w:lang w:val="en-CA"/>
        </w:rPr>
        <w:t xml:space="preserve">Arrest Warrant of 11 April 2000 (Democratic Republic of the Congo </w:t>
      </w:r>
      <w:r w:rsidRPr="004A0F32">
        <w:rPr>
          <w:rFonts w:ascii="Garamond" w:hAnsi="Garamond" w:cs="Arial"/>
          <w:bCs/>
          <w:i/>
          <w:iCs/>
          <w:lang w:val="en-CA"/>
        </w:rPr>
        <w:t>v.</w:t>
      </w:r>
      <w:r w:rsidRPr="004A0F32">
        <w:rPr>
          <w:rFonts w:ascii="Garamond" w:hAnsi="Garamond" w:cs="Arial"/>
          <w:bCs/>
          <w:lang w:val="en-CA"/>
        </w:rPr>
        <w:t xml:space="preserve"> Belgium),</w:t>
      </w:r>
      <w:r w:rsidRPr="004A0F32">
        <w:rPr>
          <w:rFonts w:ascii="Garamond" w:hAnsi="Garamond" w:cs="Arial"/>
          <w:lang w:val="en-CA"/>
        </w:rPr>
        <w:t xml:space="preserve"> </w:t>
      </w:r>
      <w:hyperlink r:id="rId13" w:history="1">
        <w:r w:rsidRPr="004A0F32">
          <w:rPr>
            <w:rStyle w:val="Hyperlink"/>
            <w:rFonts w:ascii="Garamond" w:hAnsi="Garamond" w:cs="Arial"/>
            <w:lang w:val="en-CA"/>
          </w:rPr>
          <w:t>Judgement</w:t>
        </w:r>
      </w:hyperlink>
      <w:r w:rsidRPr="004A0F32">
        <w:rPr>
          <w:rFonts w:ascii="Garamond" w:hAnsi="Garamond" w:cs="Arial"/>
          <w:lang w:val="en-CA"/>
        </w:rPr>
        <w:t>, 14 February 2002, ICJ Reports 2002, p.3 (paragraphs 1, 13-15, 45, 46</w:t>
      </w:r>
      <w:r w:rsidR="004F0A2A">
        <w:rPr>
          <w:rFonts w:ascii="Garamond" w:hAnsi="Garamond" w:cs="Arial"/>
          <w:lang w:val="en-CA"/>
        </w:rPr>
        <w:t xml:space="preserve"> &amp; </w:t>
      </w:r>
      <w:r w:rsidRPr="004A0F32">
        <w:rPr>
          <w:rFonts w:ascii="Garamond" w:hAnsi="Garamond" w:cs="Arial"/>
          <w:lang w:val="en-CA"/>
        </w:rPr>
        <w:t>51-78)</w:t>
      </w:r>
      <w:r w:rsidR="009A7F9B">
        <w:rPr>
          <w:rFonts w:ascii="Garamond" w:hAnsi="Garamond" w:cs="Arial"/>
          <w:lang w:val="en-CA"/>
        </w:rPr>
        <w:t>;</w:t>
      </w:r>
      <w:r w:rsidRPr="004A0F32">
        <w:rPr>
          <w:rFonts w:ascii="Garamond" w:hAnsi="Garamond" w:cs="Arial"/>
          <w:lang w:val="en-CA"/>
        </w:rPr>
        <w:t xml:space="preserve"> and </w:t>
      </w:r>
      <w:hyperlink r:id="rId14" w:history="1">
        <w:r w:rsidRPr="004A0F32">
          <w:rPr>
            <w:rStyle w:val="Hyperlink"/>
            <w:rFonts w:ascii="Garamond" w:hAnsi="Garamond" w:cs="Arial"/>
            <w:iCs/>
            <w:lang w:val="en-CA"/>
          </w:rPr>
          <w:t>Joint separate opinion of Judges Higgins, Kooijmans and Buergenthal</w:t>
        </w:r>
      </w:hyperlink>
      <w:r w:rsidRPr="004A0F32">
        <w:rPr>
          <w:rFonts w:ascii="Garamond" w:hAnsi="Garamond" w:cs="Arial"/>
          <w:lang w:val="en-CA"/>
        </w:rPr>
        <w:t xml:space="preserve"> (para</w:t>
      </w:r>
      <w:r w:rsidR="004F0A2A">
        <w:rPr>
          <w:rFonts w:ascii="Garamond" w:hAnsi="Garamond" w:cs="Arial"/>
          <w:lang w:val="en-CA"/>
        </w:rPr>
        <w:t>graphs</w:t>
      </w:r>
      <w:r w:rsidRPr="004A0F32">
        <w:rPr>
          <w:rFonts w:ascii="Garamond" w:hAnsi="Garamond" w:cs="Arial"/>
          <w:lang w:val="en-CA"/>
        </w:rPr>
        <w:t xml:space="preserve"> 1-5, 17, 18, 19, 45-52</w:t>
      </w:r>
      <w:r w:rsidR="004F0A2A">
        <w:rPr>
          <w:rFonts w:ascii="Garamond" w:hAnsi="Garamond" w:cs="Arial"/>
          <w:lang w:val="en-CA"/>
        </w:rPr>
        <w:t xml:space="preserve"> &amp;</w:t>
      </w:r>
      <w:r w:rsidRPr="004A0F32">
        <w:rPr>
          <w:rFonts w:ascii="Garamond" w:hAnsi="Garamond" w:cs="Arial"/>
          <w:lang w:val="en-CA"/>
        </w:rPr>
        <w:t xml:space="preserve"> 70-89)</w:t>
      </w:r>
      <w:r w:rsidR="009A7F9B">
        <w:rPr>
          <w:rFonts w:ascii="Garamond" w:hAnsi="Garamond" w:cs="Arial"/>
          <w:lang w:val="en-CA"/>
        </w:rPr>
        <w:t>.</w:t>
      </w:r>
    </w:p>
    <w:p w14:paraId="796A77F9" w14:textId="1056C899" w:rsidR="00E13D02" w:rsidRPr="004A0F32" w:rsidRDefault="008A5564" w:rsidP="008A5564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 w:cs="Arial"/>
          <w:lang w:val="en-CA"/>
        </w:rPr>
        <w:t xml:space="preserve">ICC, Appeals Chamber, </w:t>
      </w:r>
      <w:hyperlink r:id="rId15" w:history="1">
        <w:r w:rsidRPr="004A0F32">
          <w:rPr>
            <w:rStyle w:val="Hyperlink"/>
            <w:rFonts w:ascii="Garamond" w:hAnsi="Garamond"/>
          </w:rPr>
          <w:t>Judgment in the Jordan Referral re Al-Bashir Appeal</w:t>
        </w:r>
      </w:hyperlink>
      <w:r w:rsidRPr="004A0F32">
        <w:rPr>
          <w:rFonts w:ascii="Garamond" w:hAnsi="Garamond"/>
        </w:rPr>
        <w:t>, 6 May 2019, para</w:t>
      </w:r>
      <w:r w:rsidR="004A0F32">
        <w:rPr>
          <w:rFonts w:ascii="Garamond" w:hAnsi="Garamond"/>
        </w:rPr>
        <w:t>graph</w:t>
      </w:r>
      <w:r w:rsidRPr="004A0F32">
        <w:rPr>
          <w:rFonts w:ascii="Garamond" w:hAnsi="Garamond"/>
        </w:rPr>
        <w:t>s 95-132.</w:t>
      </w:r>
    </w:p>
    <w:p w14:paraId="0108DFCF" w14:textId="77777777" w:rsidR="00F7121F" w:rsidRPr="004A0F32" w:rsidRDefault="00F7121F" w:rsidP="00F7121F">
      <w:pPr>
        <w:rPr>
          <w:rFonts w:ascii="Garamond" w:hAnsi="Garamond"/>
        </w:rPr>
      </w:pPr>
    </w:p>
    <w:p w14:paraId="4C7EABB7" w14:textId="458681D8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t xml:space="preserve">Sources of Public International Law I: The Law of Treaties, Unilateral Declarations, and </w:t>
      </w:r>
      <w:r w:rsidRPr="004A0F32">
        <w:rPr>
          <w:rFonts w:ascii="Garamond" w:hAnsi="Garamond"/>
          <w:b/>
          <w:bCs/>
          <w:i/>
          <w:iCs/>
        </w:rPr>
        <w:t>Jus Cogens</w:t>
      </w:r>
      <w:r w:rsidR="005D002F" w:rsidRPr="004A0F32">
        <w:rPr>
          <w:rFonts w:ascii="Garamond" w:hAnsi="Garamond"/>
          <w:b/>
          <w:bCs/>
          <w:i/>
          <w:iCs/>
        </w:rPr>
        <w:t xml:space="preserve"> </w:t>
      </w:r>
      <w:r w:rsidR="005D002F" w:rsidRPr="004A0F32">
        <w:rPr>
          <w:rFonts w:ascii="Garamond" w:hAnsi="Garamond"/>
          <w:b/>
          <w:bCs/>
        </w:rPr>
        <w:t>(Week 4, Tuesday</w:t>
      </w:r>
      <w:r w:rsidR="00C72A78" w:rsidRPr="004A0F32">
        <w:rPr>
          <w:rFonts w:ascii="Garamond" w:hAnsi="Garamond"/>
          <w:b/>
          <w:bCs/>
        </w:rPr>
        <w:t xml:space="preserve"> 1</w:t>
      </w:r>
      <w:r w:rsidR="00C72A78" w:rsidRPr="004A0F32">
        <w:rPr>
          <w:rFonts w:ascii="Garamond" w:hAnsi="Garamond"/>
          <w:b/>
          <w:bCs/>
          <w:vertAlign w:val="superscript"/>
        </w:rPr>
        <w:t>st</w:t>
      </w:r>
      <w:r w:rsidR="00C72A78" w:rsidRPr="004A0F32">
        <w:rPr>
          <w:rFonts w:ascii="Garamond" w:hAnsi="Garamond"/>
          <w:b/>
          <w:bCs/>
        </w:rPr>
        <w:t xml:space="preserve"> October)</w:t>
      </w:r>
      <w:r w:rsidR="005D002F" w:rsidRPr="004A0F32">
        <w:rPr>
          <w:rFonts w:ascii="Garamond" w:hAnsi="Garamond"/>
          <w:b/>
          <w:bCs/>
        </w:rPr>
        <w:t xml:space="preserve"> </w:t>
      </w:r>
    </w:p>
    <w:p w14:paraId="328E6911" w14:textId="2E175103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1C619176" w14:textId="14CC59B8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Chapter 10, pp.195-196, 232-244.</w:t>
      </w:r>
    </w:p>
    <w:p w14:paraId="66161F00" w14:textId="1197A011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</w:t>
      </w:r>
      <w:r w:rsidR="004F0A2A"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2 &amp; 16, pp.402-404.</w:t>
      </w:r>
    </w:p>
    <w:p w14:paraId="79B0399C" w14:textId="11580199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 15, pp.7</w:t>
      </w:r>
      <w:r w:rsidR="000A3A4E">
        <w:rPr>
          <w:rFonts w:ascii="Garamond" w:hAnsi="Garamond"/>
        </w:rPr>
        <w:t>8</w:t>
      </w:r>
      <w:r w:rsidRPr="004A0F32">
        <w:rPr>
          <w:rFonts w:ascii="Garamond" w:hAnsi="Garamond"/>
        </w:rPr>
        <w:t>-</w:t>
      </w:r>
      <w:r w:rsidR="000A3A4E">
        <w:rPr>
          <w:rFonts w:ascii="Garamond" w:hAnsi="Garamond"/>
        </w:rPr>
        <w:t>82</w:t>
      </w:r>
      <w:r w:rsidRPr="004A0F32">
        <w:rPr>
          <w:rFonts w:ascii="Garamond" w:hAnsi="Garamond"/>
        </w:rPr>
        <w:t>, 9</w:t>
      </w:r>
      <w:r w:rsidR="00E32571">
        <w:rPr>
          <w:rFonts w:ascii="Garamond" w:hAnsi="Garamond"/>
        </w:rPr>
        <w:t>2</w:t>
      </w:r>
      <w:r w:rsidRPr="004A0F32">
        <w:rPr>
          <w:rFonts w:ascii="Garamond" w:hAnsi="Garamond"/>
        </w:rPr>
        <w:t>-</w:t>
      </w:r>
      <w:r w:rsidR="00E32571">
        <w:rPr>
          <w:rFonts w:ascii="Garamond" w:hAnsi="Garamond"/>
        </w:rPr>
        <w:t>100</w:t>
      </w:r>
      <w:r w:rsidRPr="004A0F32">
        <w:rPr>
          <w:rFonts w:ascii="Garamond" w:hAnsi="Garamond"/>
        </w:rPr>
        <w:t>.</w:t>
      </w:r>
    </w:p>
    <w:p w14:paraId="789F041D" w14:textId="77777777" w:rsidR="00F7121F" w:rsidRPr="004A0F32" w:rsidRDefault="00F7121F" w:rsidP="00F7121F">
      <w:pPr>
        <w:ind w:left="360"/>
        <w:rPr>
          <w:rFonts w:ascii="Garamond" w:hAnsi="Garamond"/>
        </w:rPr>
      </w:pPr>
    </w:p>
    <w:p w14:paraId="076DC2B3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18D311BD" w14:textId="183DF599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 xml:space="preserve">Article 38, </w:t>
      </w:r>
      <w:hyperlink r:id="rId16" w:history="1">
        <w:r w:rsidRPr="004A0F32">
          <w:rPr>
            <w:rStyle w:val="Hyperlink"/>
            <w:rFonts w:ascii="Garamond" w:hAnsi="Garamond"/>
            <w:i/>
            <w:iCs/>
          </w:rPr>
          <w:t>Statute of the International Court of Justice</w:t>
        </w:r>
      </w:hyperlink>
      <w:r w:rsidRPr="004A0F32">
        <w:rPr>
          <w:rFonts w:ascii="Garamond" w:hAnsi="Garamond"/>
          <w:i/>
          <w:iCs/>
        </w:rPr>
        <w:t xml:space="preserve"> </w:t>
      </w:r>
      <w:r w:rsidRPr="004A0F32">
        <w:rPr>
          <w:rFonts w:ascii="Garamond" w:hAnsi="Garamond"/>
        </w:rPr>
        <w:t>(18 April 1946).</w:t>
      </w:r>
    </w:p>
    <w:p w14:paraId="745C48CA" w14:textId="43952ADE" w:rsidR="00F7121F" w:rsidRPr="004A0F32" w:rsidRDefault="00B04788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hyperlink r:id="rId17" w:history="1">
        <w:r w:rsidR="00F7121F" w:rsidRPr="004A0F32">
          <w:rPr>
            <w:rStyle w:val="Hyperlink"/>
            <w:rFonts w:ascii="Garamond" w:hAnsi="Garamond"/>
            <w:i/>
            <w:iCs/>
          </w:rPr>
          <w:t>Vienna Convention on the Law of Treaties</w:t>
        </w:r>
      </w:hyperlink>
      <w:r w:rsidR="00F7121F" w:rsidRPr="004A0F32">
        <w:rPr>
          <w:rFonts w:ascii="Garamond" w:hAnsi="Garamond"/>
          <w:i/>
          <w:iCs/>
        </w:rPr>
        <w:t xml:space="preserve"> </w:t>
      </w:r>
      <w:r w:rsidR="00F7121F" w:rsidRPr="004A0F32">
        <w:rPr>
          <w:rFonts w:ascii="Garamond" w:hAnsi="Garamond"/>
        </w:rPr>
        <w:t>(adopted 23 May 1969, entry into force 27 January 1980) 1155 UNTS 331.</w:t>
      </w:r>
    </w:p>
    <w:p w14:paraId="13615204" w14:textId="3B402DB9" w:rsidR="00F7121F" w:rsidRPr="004A0F32" w:rsidRDefault="00B04788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hyperlink r:id="rId18" w:history="1">
        <w:r w:rsidR="00F7121F" w:rsidRPr="004A0F32">
          <w:rPr>
            <w:rStyle w:val="Hyperlink"/>
            <w:rFonts w:ascii="Garamond" w:hAnsi="Garamond"/>
            <w:bCs/>
            <w:i/>
            <w:iCs/>
            <w:lang w:val="en-CA"/>
          </w:rPr>
          <w:t>Reservations to the Convention on the Prevention and Punishment of the Crime of Genocide</w:t>
        </w:r>
        <w:r w:rsidR="00F7121F" w:rsidRPr="004A0F32">
          <w:rPr>
            <w:rStyle w:val="Hyperlink"/>
            <w:rFonts w:ascii="Garamond" w:hAnsi="Garamond"/>
            <w:i/>
            <w:iCs/>
            <w:lang w:val="en-CA"/>
          </w:rPr>
          <w:t>, Advisory Opinion</w:t>
        </w:r>
      </w:hyperlink>
      <w:r w:rsidR="00F7121F" w:rsidRPr="004A0F32">
        <w:rPr>
          <w:rFonts w:ascii="Garamond" w:hAnsi="Garamond"/>
          <w:i/>
          <w:iCs/>
          <w:lang w:val="en-CA"/>
        </w:rPr>
        <w:t>, ICJ Reports 1951</w:t>
      </w:r>
      <w:r w:rsidR="00F7121F" w:rsidRPr="004A0F32">
        <w:rPr>
          <w:rFonts w:ascii="Garamond" w:hAnsi="Garamond"/>
          <w:lang w:val="en-CA"/>
        </w:rPr>
        <w:t>, p.15.</w:t>
      </w:r>
    </w:p>
    <w:p w14:paraId="179414D5" w14:textId="76F86883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  <w:bCs/>
          <w:i/>
          <w:iCs/>
        </w:rPr>
        <w:t xml:space="preserve">Nuclear Tests (Australia v France), </w:t>
      </w:r>
      <w:hyperlink r:id="rId19" w:history="1">
        <w:r w:rsidRPr="004A0F32">
          <w:rPr>
            <w:rStyle w:val="Hyperlink"/>
            <w:rFonts w:ascii="Garamond" w:hAnsi="Garamond"/>
            <w:bCs/>
            <w:i/>
            <w:iCs/>
          </w:rPr>
          <w:t>Judgement</w:t>
        </w:r>
      </w:hyperlink>
      <w:r w:rsidRPr="004A0F32">
        <w:rPr>
          <w:rFonts w:ascii="Garamond" w:hAnsi="Garamond"/>
          <w:bCs/>
          <w:i/>
          <w:iCs/>
        </w:rPr>
        <w:t xml:space="preserve">, ICJ Reports 1974, </w:t>
      </w:r>
      <w:r w:rsidRPr="004A0F32">
        <w:rPr>
          <w:rFonts w:ascii="Garamond" w:hAnsi="Garamond"/>
          <w:bCs/>
        </w:rPr>
        <w:t>p</w:t>
      </w:r>
      <w:r w:rsidR="004F0A2A">
        <w:rPr>
          <w:rFonts w:ascii="Garamond" w:hAnsi="Garamond"/>
          <w:bCs/>
        </w:rPr>
        <w:t>p</w:t>
      </w:r>
      <w:r w:rsidRPr="004A0F32">
        <w:rPr>
          <w:rFonts w:ascii="Garamond" w:hAnsi="Garamond"/>
          <w:bCs/>
        </w:rPr>
        <w:t>.253, 267-268.</w:t>
      </w:r>
    </w:p>
    <w:p w14:paraId="26EFFDC1" w14:textId="04B8F06A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  <w:bCs/>
        </w:rPr>
      </w:pPr>
      <w:r w:rsidRPr="004A0F32">
        <w:rPr>
          <w:rFonts w:ascii="Garamond" w:hAnsi="Garamond"/>
          <w:bCs/>
        </w:rPr>
        <w:t xml:space="preserve">International Law Commission, </w:t>
      </w:r>
      <w:hyperlink r:id="rId20" w:history="1">
        <w:r w:rsidRPr="004A0F32">
          <w:rPr>
            <w:rStyle w:val="Hyperlink"/>
            <w:rFonts w:ascii="Garamond" w:hAnsi="Garamond"/>
            <w:bCs/>
            <w:i/>
            <w:iCs/>
          </w:rPr>
          <w:t>Guiding Principles applicable to unilateral declarations of States capable of creating legal obligations, with commentaries thereto</w:t>
        </w:r>
      </w:hyperlink>
      <w:r w:rsidRPr="004A0F32">
        <w:rPr>
          <w:rFonts w:ascii="Garamond" w:hAnsi="Garamond"/>
          <w:bCs/>
          <w:i/>
          <w:iCs/>
        </w:rPr>
        <w:t xml:space="preserve"> </w:t>
      </w:r>
      <w:r w:rsidRPr="004A0F32">
        <w:rPr>
          <w:rFonts w:ascii="Garamond" w:hAnsi="Garamond"/>
          <w:bCs/>
        </w:rPr>
        <w:t>(2006).</w:t>
      </w:r>
    </w:p>
    <w:p w14:paraId="5FE6AECD" w14:textId="77777777" w:rsidR="00F7121F" w:rsidRDefault="00F7121F" w:rsidP="00F7121F">
      <w:pPr>
        <w:rPr>
          <w:rFonts w:ascii="Garamond" w:hAnsi="Garamond"/>
        </w:rPr>
      </w:pPr>
    </w:p>
    <w:p w14:paraId="33DA2133" w14:textId="77777777" w:rsidR="004F0A2A" w:rsidRDefault="004F0A2A" w:rsidP="00F7121F">
      <w:pPr>
        <w:rPr>
          <w:rFonts w:ascii="Garamond" w:hAnsi="Garamond"/>
        </w:rPr>
      </w:pPr>
    </w:p>
    <w:p w14:paraId="49BE6E5F" w14:textId="77777777" w:rsidR="004F0A2A" w:rsidRPr="004A0F32" w:rsidRDefault="004F0A2A" w:rsidP="00F7121F">
      <w:pPr>
        <w:rPr>
          <w:rFonts w:ascii="Garamond" w:hAnsi="Garamond"/>
        </w:rPr>
      </w:pPr>
    </w:p>
    <w:p w14:paraId="1E51F459" w14:textId="77777777" w:rsidR="00C50782" w:rsidRDefault="00C50782" w:rsidP="00F7121F">
      <w:pPr>
        <w:rPr>
          <w:rFonts w:ascii="Garamond" w:hAnsi="Garamond"/>
        </w:rPr>
      </w:pPr>
    </w:p>
    <w:p w14:paraId="2BF652B2" w14:textId="77777777" w:rsidR="009A7F9B" w:rsidRPr="004A0F32" w:rsidRDefault="009A7F9B" w:rsidP="00F7121F">
      <w:pPr>
        <w:rPr>
          <w:rFonts w:ascii="Garamond" w:hAnsi="Garamond"/>
        </w:rPr>
      </w:pPr>
    </w:p>
    <w:p w14:paraId="2FCCD893" w14:textId="6ECDF27F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lastRenderedPageBreak/>
        <w:t>Sources of Public International Law II: Customary International Law, General Principles of Law, and Subsidiary Sources</w:t>
      </w:r>
      <w:r w:rsidR="00C72A78" w:rsidRPr="004A0F32">
        <w:rPr>
          <w:rFonts w:ascii="Garamond" w:hAnsi="Garamond"/>
          <w:b/>
          <w:bCs/>
        </w:rPr>
        <w:t xml:space="preserve"> (Week 5, Tuesday 8</w:t>
      </w:r>
      <w:r w:rsidR="00C72A78" w:rsidRPr="004A0F32">
        <w:rPr>
          <w:rFonts w:ascii="Garamond" w:hAnsi="Garamond"/>
          <w:b/>
          <w:bCs/>
          <w:vertAlign w:val="superscript"/>
        </w:rPr>
        <w:t>th</w:t>
      </w:r>
      <w:r w:rsidR="00C72A78" w:rsidRPr="004A0F32">
        <w:rPr>
          <w:rFonts w:ascii="Garamond" w:hAnsi="Garamond"/>
          <w:b/>
          <w:bCs/>
        </w:rPr>
        <w:t xml:space="preserve"> October)</w:t>
      </w:r>
    </w:p>
    <w:p w14:paraId="609D3AAB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0AE0A5F7" w14:textId="299D1186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pp.184-195, 199-202.</w:t>
      </w:r>
    </w:p>
    <w:p w14:paraId="674BA129" w14:textId="09B60173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pp.21-28, 31-44.</w:t>
      </w:r>
    </w:p>
    <w:p w14:paraId="5B729715" w14:textId="55D1FFAC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 xml:space="preserve">Shaw, </w:t>
      </w:r>
      <w:r w:rsidR="00E32571">
        <w:rPr>
          <w:rFonts w:ascii="Garamond" w:hAnsi="Garamond"/>
        </w:rPr>
        <w:t>Chapter 3</w:t>
      </w:r>
      <w:r w:rsidRPr="004A0F32">
        <w:rPr>
          <w:rFonts w:ascii="Garamond" w:hAnsi="Garamond"/>
        </w:rPr>
        <w:t>.</w:t>
      </w:r>
    </w:p>
    <w:p w14:paraId="561ADDC4" w14:textId="77777777" w:rsidR="00F7121F" w:rsidRPr="004A0F32" w:rsidRDefault="00F7121F" w:rsidP="00F7121F">
      <w:pPr>
        <w:rPr>
          <w:rFonts w:ascii="Garamond" w:hAnsi="Garamond"/>
        </w:rPr>
      </w:pPr>
    </w:p>
    <w:p w14:paraId="6774AC8A" w14:textId="77777777" w:rsidR="000454AE" w:rsidRPr="004A0F32" w:rsidRDefault="000454AE" w:rsidP="00F7121F">
      <w:pPr>
        <w:ind w:left="720"/>
        <w:rPr>
          <w:rFonts w:ascii="Garamond" w:hAnsi="Garamond"/>
          <w:u w:val="single"/>
        </w:rPr>
      </w:pPr>
    </w:p>
    <w:p w14:paraId="5FBA7993" w14:textId="1597466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0FD6E049" w14:textId="21A4675A" w:rsidR="00F7121F" w:rsidRPr="004A0F32" w:rsidRDefault="000454AE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hyperlink r:id="rId21" w:history="1">
        <w:r w:rsidR="00F7121F" w:rsidRPr="004A0F32">
          <w:rPr>
            <w:rStyle w:val="Hyperlink"/>
            <w:rFonts w:ascii="Garamond" w:hAnsi="Garamond"/>
            <w:bCs/>
            <w:i/>
            <w:iCs/>
            <w:lang w:val="en-CA"/>
          </w:rPr>
          <w:t>Military and Paramilitary Activities in and against Nicaragua (Nicaragua v. United States of America)</w:t>
        </w:r>
        <w:r w:rsidR="00F7121F" w:rsidRPr="004A0F32">
          <w:rPr>
            <w:rStyle w:val="Hyperlink"/>
            <w:rFonts w:ascii="Garamond" w:hAnsi="Garamond"/>
            <w:i/>
            <w:iCs/>
            <w:lang w:val="en-CA"/>
          </w:rPr>
          <w:t>, Merits, Judgement</w:t>
        </w:r>
      </w:hyperlink>
      <w:r w:rsidR="00F7121F" w:rsidRPr="004A0F32">
        <w:rPr>
          <w:rFonts w:ascii="Garamond" w:hAnsi="Garamond"/>
          <w:i/>
          <w:iCs/>
          <w:lang w:val="en-CA"/>
        </w:rPr>
        <w:t>, ICJ Reports 1986</w:t>
      </w:r>
      <w:r w:rsidR="00F7121F" w:rsidRPr="004A0F32">
        <w:rPr>
          <w:rFonts w:ascii="Garamond" w:hAnsi="Garamond"/>
          <w:lang w:val="en-CA"/>
        </w:rPr>
        <w:t>, p.14, paragraphs 172-269.</w:t>
      </w:r>
    </w:p>
    <w:p w14:paraId="416708DE" w14:textId="0F40D17C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 xml:space="preserve">International Law Commission, </w:t>
      </w:r>
      <w:hyperlink r:id="rId22" w:history="1">
        <w:r w:rsidRPr="004A0F32">
          <w:rPr>
            <w:rStyle w:val="Hyperlink"/>
            <w:rFonts w:ascii="Garamond" w:hAnsi="Garamond"/>
            <w:i/>
            <w:iCs/>
          </w:rPr>
          <w:t>Draft Conclusions on Identification of Customary International Law, with commentaries</w:t>
        </w:r>
      </w:hyperlink>
      <w:r w:rsidRPr="004A0F32">
        <w:rPr>
          <w:rFonts w:ascii="Garamond" w:hAnsi="Garamond"/>
        </w:rPr>
        <w:t xml:space="preserve"> (2018).</w:t>
      </w:r>
    </w:p>
    <w:p w14:paraId="28CBF6E7" w14:textId="3B1DA6A3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Stefan Talmon, ‘</w:t>
      </w:r>
      <w:hyperlink r:id="rId23" w:history="1">
        <w:r w:rsidRPr="004A0F32">
          <w:rPr>
            <w:rStyle w:val="Hyperlink"/>
            <w:rFonts w:ascii="Garamond" w:hAnsi="Garamond"/>
          </w:rPr>
          <w:t>Determining customary international law: the ICJ’s methodology between induction, deduction and assertion’</w:t>
        </w:r>
      </w:hyperlink>
      <w:r w:rsidRPr="004A0F32">
        <w:rPr>
          <w:rFonts w:ascii="Garamond" w:hAnsi="Garamond"/>
        </w:rPr>
        <w:t xml:space="preserve"> (2015) 26(2) </w:t>
      </w:r>
      <w:r w:rsidRPr="004A0F32">
        <w:rPr>
          <w:rFonts w:ascii="Garamond" w:hAnsi="Garamond"/>
          <w:i/>
          <w:iCs/>
        </w:rPr>
        <w:t>European Journal of International Law</w:t>
      </w:r>
      <w:r w:rsidRPr="004A0F32">
        <w:rPr>
          <w:rFonts w:ascii="Garamond" w:hAnsi="Garamond"/>
        </w:rPr>
        <w:t xml:space="preserve"> 417-443.</w:t>
      </w:r>
    </w:p>
    <w:p w14:paraId="33CBD5FC" w14:textId="66E1876E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Katie A Johnston, ‘</w:t>
      </w:r>
      <w:hyperlink r:id="rId24" w:history="1">
        <w:r w:rsidRPr="004A0F32">
          <w:rPr>
            <w:rStyle w:val="Hyperlink"/>
            <w:rFonts w:ascii="Garamond" w:hAnsi="Garamond"/>
          </w:rPr>
          <w:t>The Nature and Context of Rules and the Identification of Customary International Law’</w:t>
        </w:r>
      </w:hyperlink>
      <w:r w:rsidRPr="004A0F32">
        <w:rPr>
          <w:rFonts w:ascii="Garamond" w:hAnsi="Garamond"/>
        </w:rPr>
        <w:t xml:space="preserve"> (2021) 32(4) </w:t>
      </w:r>
      <w:r w:rsidRPr="004A0F32">
        <w:rPr>
          <w:rFonts w:ascii="Garamond" w:hAnsi="Garamond"/>
          <w:i/>
          <w:iCs/>
        </w:rPr>
        <w:t>European Journal of International Law</w:t>
      </w:r>
      <w:r w:rsidRPr="004A0F32">
        <w:rPr>
          <w:rFonts w:ascii="Garamond" w:hAnsi="Garamond"/>
        </w:rPr>
        <w:t xml:space="preserve"> 1167–1190.</w:t>
      </w:r>
    </w:p>
    <w:p w14:paraId="2DDCE4C3" w14:textId="77777777" w:rsidR="00F7121F" w:rsidRPr="004A0F32" w:rsidRDefault="00F7121F" w:rsidP="00F7121F">
      <w:pPr>
        <w:rPr>
          <w:rFonts w:ascii="Garamond" w:hAnsi="Garamond"/>
        </w:rPr>
      </w:pPr>
    </w:p>
    <w:p w14:paraId="0E40D9DF" w14:textId="718E236A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t>Use of Force</w:t>
      </w:r>
      <w:r w:rsidR="00C72A78" w:rsidRPr="004A0F32">
        <w:rPr>
          <w:rFonts w:ascii="Garamond" w:hAnsi="Garamond"/>
          <w:b/>
          <w:bCs/>
        </w:rPr>
        <w:t xml:space="preserve"> (Week 6, Tuesday, 15</w:t>
      </w:r>
      <w:r w:rsidR="00C72A78" w:rsidRPr="004A0F32">
        <w:rPr>
          <w:rFonts w:ascii="Garamond" w:hAnsi="Garamond"/>
          <w:b/>
          <w:bCs/>
          <w:vertAlign w:val="superscript"/>
        </w:rPr>
        <w:t>th</w:t>
      </w:r>
      <w:r w:rsidR="00C72A78" w:rsidRPr="004A0F32">
        <w:rPr>
          <w:rFonts w:ascii="Garamond" w:hAnsi="Garamond"/>
          <w:b/>
          <w:bCs/>
        </w:rPr>
        <w:t xml:space="preserve"> October)</w:t>
      </w:r>
    </w:p>
    <w:p w14:paraId="68F2E8FF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49E16630" w14:textId="77777777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Chapter 17.</w:t>
      </w:r>
    </w:p>
    <w:p w14:paraId="671A1A53" w14:textId="77777777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 33.</w:t>
      </w:r>
    </w:p>
    <w:p w14:paraId="6F70C8A7" w14:textId="77777777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 19.</w:t>
      </w:r>
    </w:p>
    <w:p w14:paraId="54CE9B17" w14:textId="77777777" w:rsidR="00F7121F" w:rsidRPr="004A0F32" w:rsidRDefault="00F7121F" w:rsidP="00F7121F">
      <w:pPr>
        <w:ind w:left="360"/>
        <w:rPr>
          <w:rFonts w:ascii="Garamond" w:hAnsi="Garamond"/>
        </w:rPr>
      </w:pPr>
    </w:p>
    <w:p w14:paraId="152094E7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1DFD29B4" w14:textId="347D9D6C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Article 2(4)</w:t>
      </w:r>
      <w:r w:rsidR="004F0A2A">
        <w:rPr>
          <w:rFonts w:ascii="Garamond" w:hAnsi="Garamond"/>
        </w:rPr>
        <w:t xml:space="preserve"> &amp;</w:t>
      </w:r>
      <w:r w:rsidRPr="004A0F32">
        <w:rPr>
          <w:rFonts w:ascii="Garamond" w:hAnsi="Garamond"/>
        </w:rPr>
        <w:t xml:space="preserve"> </w:t>
      </w:r>
      <w:r w:rsidR="004F0A2A">
        <w:rPr>
          <w:rFonts w:ascii="Garamond" w:hAnsi="Garamond"/>
        </w:rPr>
        <w:t xml:space="preserve">Article </w:t>
      </w:r>
      <w:r w:rsidRPr="004A0F32">
        <w:rPr>
          <w:rFonts w:ascii="Garamond" w:hAnsi="Garamond"/>
        </w:rPr>
        <w:t xml:space="preserve">51, </w:t>
      </w:r>
      <w:hyperlink r:id="rId25" w:history="1">
        <w:r w:rsidRPr="004A0F32">
          <w:rPr>
            <w:rStyle w:val="Hyperlink"/>
            <w:rFonts w:ascii="Garamond" w:hAnsi="Garamond"/>
            <w:i/>
            <w:iCs/>
          </w:rPr>
          <w:t>Charter of the United Nations</w:t>
        </w:r>
      </w:hyperlink>
      <w:r w:rsidRPr="004A0F32">
        <w:rPr>
          <w:rFonts w:ascii="Garamond" w:hAnsi="Garamond"/>
          <w:i/>
          <w:iCs/>
        </w:rPr>
        <w:t xml:space="preserve"> </w:t>
      </w:r>
      <w:r w:rsidRPr="004A0F32">
        <w:rPr>
          <w:rFonts w:ascii="Garamond" w:hAnsi="Garamond"/>
        </w:rPr>
        <w:t>(adopted 24 October 1945) 1 UNTS XVI.</w:t>
      </w:r>
    </w:p>
    <w:p w14:paraId="14359252" w14:textId="2E5651A1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Thomas M Franck, ‘</w:t>
      </w:r>
      <w:hyperlink r:id="rId26" w:history="1">
        <w:r w:rsidRPr="004A0F32">
          <w:rPr>
            <w:rStyle w:val="Hyperlink"/>
            <w:rFonts w:ascii="Garamond" w:hAnsi="Garamond"/>
          </w:rPr>
          <w:t>What Happens Now? The United Nations After Iraq’</w:t>
        </w:r>
      </w:hyperlink>
      <w:r w:rsidRPr="004A0F32">
        <w:rPr>
          <w:rFonts w:ascii="Garamond" w:hAnsi="Garamond"/>
        </w:rPr>
        <w:t xml:space="preserve"> (2003) 97(3) </w:t>
      </w:r>
      <w:r w:rsidRPr="004A0F32">
        <w:rPr>
          <w:rFonts w:ascii="Garamond" w:hAnsi="Garamond"/>
          <w:i/>
          <w:iCs/>
        </w:rPr>
        <w:t>American Journal of International Law</w:t>
      </w:r>
      <w:r w:rsidRPr="004A0F32">
        <w:rPr>
          <w:rFonts w:ascii="Garamond" w:hAnsi="Garamond"/>
        </w:rPr>
        <w:t xml:space="preserve"> 607-620.</w:t>
      </w:r>
    </w:p>
    <w:p w14:paraId="663B028B" w14:textId="76AF265D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James A. Green, Christian Henderson, and Tom Ruys, ‘</w:t>
      </w:r>
      <w:hyperlink r:id="rId27" w:history="1">
        <w:r w:rsidRPr="004A0F32">
          <w:rPr>
            <w:rStyle w:val="Hyperlink"/>
            <w:rFonts w:ascii="Garamond" w:hAnsi="Garamond"/>
          </w:rPr>
          <w:t>Russia’s attack on Ukraine and the jus ad bellum’</w:t>
        </w:r>
      </w:hyperlink>
      <w:r w:rsidRPr="004A0F32">
        <w:rPr>
          <w:rFonts w:ascii="Garamond" w:hAnsi="Garamond"/>
        </w:rPr>
        <w:t xml:space="preserve"> (2022) 9(1) </w:t>
      </w:r>
      <w:r w:rsidRPr="004A0F32">
        <w:rPr>
          <w:rFonts w:ascii="Garamond" w:hAnsi="Garamond"/>
          <w:i/>
          <w:iCs/>
        </w:rPr>
        <w:t>Journal on the Use of Force and International Law</w:t>
      </w:r>
      <w:r w:rsidRPr="004A0F32">
        <w:rPr>
          <w:rFonts w:ascii="Garamond" w:hAnsi="Garamond"/>
        </w:rPr>
        <w:t> 4-30.</w:t>
      </w:r>
    </w:p>
    <w:p w14:paraId="00DD7587" w14:textId="735DEE75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Ingrid Wuerth Brunk and Monica Hakimi, ‘</w:t>
      </w:r>
      <w:hyperlink r:id="rId28" w:history="1">
        <w:r w:rsidRPr="004A0F32">
          <w:rPr>
            <w:rStyle w:val="Hyperlink"/>
            <w:rFonts w:ascii="Garamond" w:hAnsi="Garamond"/>
          </w:rPr>
          <w:t>Russia, Ukraine, and the Future World Order’</w:t>
        </w:r>
      </w:hyperlink>
      <w:r w:rsidRPr="004A0F32">
        <w:rPr>
          <w:rFonts w:ascii="Garamond" w:hAnsi="Garamond"/>
        </w:rPr>
        <w:t xml:space="preserve"> (2022) 116(4) </w:t>
      </w:r>
      <w:r w:rsidRPr="004A0F32">
        <w:rPr>
          <w:rFonts w:ascii="Garamond" w:hAnsi="Garamond"/>
          <w:i/>
          <w:iCs/>
        </w:rPr>
        <w:t>American Journal of International Law</w:t>
      </w:r>
      <w:r w:rsidRPr="004A0F32">
        <w:rPr>
          <w:rFonts w:ascii="Garamond" w:hAnsi="Garamond"/>
        </w:rPr>
        <w:t xml:space="preserve"> 687-697.</w:t>
      </w:r>
    </w:p>
    <w:p w14:paraId="4AF26627" w14:textId="5A58BE3B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Ntina Tzouvala, ‘</w:t>
      </w:r>
      <w:hyperlink r:id="rId29" w:history="1">
        <w:r w:rsidRPr="004A0F32">
          <w:rPr>
            <w:rStyle w:val="Hyperlink"/>
            <w:rFonts w:ascii="Garamond" w:hAnsi="Garamond"/>
          </w:rPr>
          <w:t>Use of force, territorial integrity, and world order: continuing the debate’</w:t>
        </w:r>
      </w:hyperlink>
      <w:r w:rsidRPr="004A0F32">
        <w:rPr>
          <w:rFonts w:ascii="Garamond" w:hAnsi="Garamond"/>
        </w:rPr>
        <w:t xml:space="preserve"> (20 March 2023) </w:t>
      </w:r>
      <w:r w:rsidRPr="004A0F32">
        <w:rPr>
          <w:rFonts w:ascii="Garamond" w:hAnsi="Garamond"/>
          <w:i/>
          <w:iCs/>
        </w:rPr>
        <w:t>CIL Dialogues</w:t>
      </w:r>
      <w:r w:rsidR="000454AE" w:rsidRPr="004A0F32">
        <w:rPr>
          <w:rFonts w:ascii="Garamond" w:hAnsi="Garamond"/>
        </w:rPr>
        <w:t>. Full blog symposium</w:t>
      </w:r>
      <w:r w:rsidRPr="004A0F32">
        <w:rPr>
          <w:rFonts w:ascii="Garamond" w:hAnsi="Garamond"/>
        </w:rPr>
        <w:t xml:space="preserve"> available </w:t>
      </w:r>
      <w:hyperlink r:id="rId30" w:history="1">
        <w:r w:rsidR="000454AE" w:rsidRPr="004A0F32">
          <w:rPr>
            <w:rStyle w:val="Hyperlink"/>
            <w:rFonts w:ascii="Garamond" w:hAnsi="Garamond"/>
          </w:rPr>
          <w:t>here</w:t>
        </w:r>
      </w:hyperlink>
      <w:r w:rsidR="000454AE" w:rsidRPr="004A0F32">
        <w:rPr>
          <w:rFonts w:ascii="Garamond" w:hAnsi="Garamond"/>
        </w:rPr>
        <w:t>.</w:t>
      </w:r>
    </w:p>
    <w:p w14:paraId="5045C328" w14:textId="77777777" w:rsidR="00F7121F" w:rsidRPr="004A0F32" w:rsidRDefault="00F7121F" w:rsidP="00F7121F">
      <w:pPr>
        <w:rPr>
          <w:rFonts w:ascii="Garamond" w:hAnsi="Garamond"/>
        </w:rPr>
      </w:pPr>
    </w:p>
    <w:p w14:paraId="1F5CA46F" w14:textId="36D35D7D" w:rsidR="00F7121F" w:rsidRPr="004A0F32" w:rsidRDefault="00F7121F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 w:rsidRPr="004A0F32">
        <w:rPr>
          <w:rFonts w:ascii="Garamond" w:hAnsi="Garamond"/>
          <w:b/>
          <w:bCs/>
        </w:rPr>
        <w:t>State Responsibility</w:t>
      </w:r>
      <w:r w:rsidR="00C72A78" w:rsidRPr="004A0F32">
        <w:rPr>
          <w:rFonts w:ascii="Garamond" w:hAnsi="Garamond"/>
          <w:b/>
          <w:bCs/>
        </w:rPr>
        <w:t xml:space="preserve"> (Week 7, Tuesday, 22</w:t>
      </w:r>
      <w:r w:rsidR="00C72A78" w:rsidRPr="004A0F32">
        <w:rPr>
          <w:rFonts w:ascii="Garamond" w:hAnsi="Garamond"/>
          <w:b/>
          <w:bCs/>
          <w:vertAlign w:val="superscript"/>
        </w:rPr>
        <w:t>nd</w:t>
      </w:r>
      <w:r w:rsidR="00C72A78" w:rsidRPr="004A0F32">
        <w:rPr>
          <w:rFonts w:ascii="Garamond" w:hAnsi="Garamond"/>
          <w:b/>
          <w:bCs/>
        </w:rPr>
        <w:t xml:space="preserve"> October)</w:t>
      </w:r>
    </w:p>
    <w:p w14:paraId="401CF411" w14:textId="77777777" w:rsidR="00F7121F" w:rsidRPr="004A0F32" w:rsidRDefault="00F7121F" w:rsidP="00F7121F">
      <w:pPr>
        <w:ind w:left="720"/>
        <w:rPr>
          <w:rFonts w:ascii="Garamond" w:hAnsi="Garamond"/>
        </w:rPr>
      </w:pPr>
      <w:r w:rsidRPr="004A0F32">
        <w:rPr>
          <w:rFonts w:ascii="Garamond" w:hAnsi="Garamond"/>
          <w:u w:val="single"/>
        </w:rPr>
        <w:t>Textbooks</w:t>
      </w:r>
    </w:p>
    <w:p w14:paraId="31CBFD6E" w14:textId="77777777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Cassese, Chapter 12.</w:t>
      </w:r>
    </w:p>
    <w:p w14:paraId="79C622D9" w14:textId="637B707F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</w:t>
      </w:r>
      <w:r w:rsidR="004F0A2A"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25-27.</w:t>
      </w:r>
    </w:p>
    <w:p w14:paraId="4133E062" w14:textId="77777777" w:rsidR="00F7121F" w:rsidRPr="004A0F32" w:rsidRDefault="00F7121F" w:rsidP="00F7121F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 13.</w:t>
      </w:r>
    </w:p>
    <w:p w14:paraId="7E33EBAF" w14:textId="77777777" w:rsidR="00F7121F" w:rsidRPr="004A0F32" w:rsidRDefault="00F7121F" w:rsidP="00F7121F">
      <w:pPr>
        <w:ind w:left="360"/>
        <w:rPr>
          <w:rFonts w:ascii="Garamond" w:hAnsi="Garamond"/>
        </w:rPr>
      </w:pPr>
    </w:p>
    <w:p w14:paraId="720E2B52" w14:textId="36092250" w:rsidR="00A51E33" w:rsidRPr="00A51E33" w:rsidRDefault="00F7121F" w:rsidP="00A51E33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3BDF2D54" w14:textId="542A33B3" w:rsidR="004957A3" w:rsidRDefault="00BD303E" w:rsidP="004957A3">
      <w:pPr>
        <w:pStyle w:val="ListParagraph"/>
        <w:numPr>
          <w:ilvl w:val="0"/>
          <w:numId w:val="22"/>
        </w:numPr>
        <w:ind w:left="1134"/>
        <w:rPr>
          <w:rFonts w:ascii="Garamond" w:hAnsi="Garamond"/>
        </w:rPr>
      </w:pPr>
      <w:r w:rsidRPr="00EE3174">
        <w:rPr>
          <w:rFonts w:ascii="Garamond" w:hAnsi="Garamond"/>
          <w:i/>
          <w:iCs/>
        </w:rPr>
        <w:t xml:space="preserve">Armed Activities on the Territory of the Congo (Democratic Republic of the Congo v. Uganda), </w:t>
      </w:r>
      <w:hyperlink r:id="rId31" w:history="1">
        <w:r w:rsidRPr="00EE3174">
          <w:rPr>
            <w:rStyle w:val="Hyperlink"/>
            <w:rFonts w:ascii="Garamond" w:hAnsi="Garamond"/>
          </w:rPr>
          <w:t>Judgment</w:t>
        </w:r>
      </w:hyperlink>
      <w:r w:rsidRPr="00EE3174">
        <w:rPr>
          <w:rFonts w:ascii="Garamond" w:hAnsi="Garamond"/>
        </w:rPr>
        <w:t>, I.C.J. Reports 2005, p. 168, paragraphs 181-250</w:t>
      </w:r>
      <w:r>
        <w:rPr>
          <w:rFonts w:ascii="Garamond" w:hAnsi="Garamond"/>
        </w:rPr>
        <w:t>.</w:t>
      </w:r>
    </w:p>
    <w:p w14:paraId="3B92231C" w14:textId="55017D03" w:rsidR="003045CD" w:rsidRPr="003045CD" w:rsidRDefault="003045CD" w:rsidP="004957A3">
      <w:pPr>
        <w:pStyle w:val="ListParagraph"/>
        <w:numPr>
          <w:ilvl w:val="0"/>
          <w:numId w:val="22"/>
        </w:numPr>
        <w:ind w:left="1134"/>
        <w:rPr>
          <w:rFonts w:ascii="Garamond" w:hAnsi="Garamond"/>
        </w:rPr>
      </w:pPr>
      <w:r w:rsidRPr="003045CD">
        <w:rPr>
          <w:rFonts w:ascii="Garamond" w:hAnsi="Garamond"/>
          <w:i/>
          <w:iCs/>
        </w:rPr>
        <w:t xml:space="preserve">Application of the Convention on the Prevention and Punishment of the Crime of Genocide (Bosnia and Herzegovina v. Serbia and Montenegro), </w:t>
      </w:r>
      <w:hyperlink r:id="rId32" w:history="1">
        <w:r w:rsidRPr="006666AD">
          <w:rPr>
            <w:rStyle w:val="Hyperlink"/>
            <w:rFonts w:ascii="Garamond" w:hAnsi="Garamond"/>
          </w:rPr>
          <w:t>Judgment</w:t>
        </w:r>
      </w:hyperlink>
      <w:r w:rsidRPr="003045CD">
        <w:rPr>
          <w:rFonts w:ascii="Garamond" w:hAnsi="Garamond"/>
        </w:rPr>
        <w:t>, I.C.J. Reports 2007, p</w:t>
      </w:r>
      <w:r w:rsidR="00F11667">
        <w:rPr>
          <w:rFonts w:ascii="Garamond" w:hAnsi="Garamond"/>
        </w:rPr>
        <w:t xml:space="preserve">aragraphs </w:t>
      </w:r>
      <w:r w:rsidR="009E5B4C">
        <w:rPr>
          <w:rFonts w:ascii="Garamond" w:hAnsi="Garamond"/>
        </w:rPr>
        <w:t>377-</w:t>
      </w:r>
      <w:r w:rsidR="00F11667">
        <w:rPr>
          <w:rFonts w:ascii="Garamond" w:hAnsi="Garamond"/>
        </w:rPr>
        <w:t>438.</w:t>
      </w:r>
    </w:p>
    <w:p w14:paraId="6BFA55A6" w14:textId="2C7FBD69" w:rsidR="004957A3" w:rsidRPr="004957A3" w:rsidRDefault="00386A60" w:rsidP="004957A3">
      <w:pPr>
        <w:pStyle w:val="ListParagraph"/>
        <w:numPr>
          <w:ilvl w:val="0"/>
          <w:numId w:val="22"/>
        </w:numPr>
        <w:ind w:left="1134"/>
        <w:rPr>
          <w:rFonts w:ascii="Garamond" w:hAnsi="Garamond"/>
        </w:rPr>
      </w:pPr>
      <w:r w:rsidRPr="004957A3">
        <w:rPr>
          <w:rFonts w:ascii="Garamond" w:hAnsi="Garamond" w:cs="Arial"/>
          <w:bCs/>
          <w:i/>
          <w:iCs/>
          <w:lang w:val="en-CA"/>
        </w:rPr>
        <w:t>Legal Consequences of the Construction of a Wall in the Occupied Palestinian Territory</w:t>
      </w:r>
      <w:r w:rsidRPr="004957A3">
        <w:rPr>
          <w:rFonts w:ascii="Garamond" w:hAnsi="Garamond" w:cs="Arial"/>
          <w:iCs/>
          <w:lang w:val="en-CA"/>
        </w:rPr>
        <w:t xml:space="preserve">, </w:t>
      </w:r>
      <w:hyperlink r:id="rId33" w:history="1">
        <w:r w:rsidRPr="004957A3">
          <w:rPr>
            <w:rStyle w:val="Hyperlink"/>
            <w:rFonts w:ascii="Garamond" w:hAnsi="Garamond" w:cs="Arial"/>
            <w:iCs/>
            <w:lang w:val="en-CA"/>
          </w:rPr>
          <w:t>A</w:t>
        </w:r>
        <w:r w:rsidRPr="004957A3">
          <w:rPr>
            <w:rStyle w:val="Hyperlink"/>
            <w:rFonts w:ascii="Garamond" w:hAnsi="Garamond" w:cs="Arial"/>
            <w:iCs/>
            <w:lang w:val="en-CA"/>
          </w:rPr>
          <w:t xml:space="preserve">dvisory </w:t>
        </w:r>
        <w:r w:rsidRPr="004957A3">
          <w:rPr>
            <w:rStyle w:val="Hyperlink"/>
            <w:rFonts w:ascii="Garamond" w:hAnsi="Garamond" w:cs="Arial"/>
            <w:iCs/>
            <w:lang w:val="en-CA"/>
          </w:rPr>
          <w:t>O</w:t>
        </w:r>
        <w:r w:rsidRPr="004957A3">
          <w:rPr>
            <w:rStyle w:val="Hyperlink"/>
            <w:rFonts w:ascii="Garamond" w:hAnsi="Garamond" w:cs="Arial"/>
            <w:iCs/>
            <w:lang w:val="en-CA"/>
          </w:rPr>
          <w:t>pinio</w:t>
        </w:r>
        <w:r w:rsidRPr="004957A3">
          <w:rPr>
            <w:rStyle w:val="Hyperlink"/>
            <w:rFonts w:ascii="Garamond" w:hAnsi="Garamond" w:cs="Arial"/>
            <w:iCs/>
            <w:lang w:val="en-CA"/>
          </w:rPr>
          <w:t>n</w:t>
        </w:r>
      </w:hyperlink>
      <w:r w:rsidRPr="004957A3">
        <w:rPr>
          <w:rFonts w:ascii="Garamond" w:hAnsi="Garamond" w:cs="Arial"/>
          <w:iCs/>
          <w:lang w:val="en-CA"/>
        </w:rPr>
        <w:t xml:space="preserve">, 9 July 2004; ICJ Reports 2004, </w:t>
      </w:r>
      <w:r w:rsidRPr="004957A3">
        <w:rPr>
          <w:rFonts w:ascii="Garamond" w:hAnsi="Garamond" w:cs="Arial"/>
          <w:bCs/>
          <w:lang w:val="en-CA"/>
        </w:rPr>
        <w:t>p.</w:t>
      </w:r>
      <w:r w:rsidRPr="004957A3">
        <w:rPr>
          <w:rFonts w:ascii="Garamond" w:hAnsi="Garamond" w:cs="Arial"/>
          <w:iCs/>
          <w:lang w:val="en-CA"/>
        </w:rPr>
        <w:t>136 (</w:t>
      </w:r>
      <w:r w:rsidR="004F0A2A" w:rsidRPr="004957A3">
        <w:rPr>
          <w:rFonts w:ascii="Garamond" w:hAnsi="Garamond" w:cs="Arial"/>
          <w:iCs/>
          <w:lang w:val="en-CA"/>
        </w:rPr>
        <w:t>pp.</w:t>
      </w:r>
      <w:r w:rsidRPr="004957A3">
        <w:rPr>
          <w:rFonts w:ascii="Garamond" w:hAnsi="Garamond" w:cs="Arial"/>
          <w:iCs/>
          <w:lang w:val="en-CA"/>
        </w:rPr>
        <w:t>4-6 and para</w:t>
      </w:r>
      <w:r w:rsidR="004F0A2A" w:rsidRPr="004957A3">
        <w:rPr>
          <w:rFonts w:ascii="Garamond" w:hAnsi="Garamond" w:cs="Arial"/>
          <w:iCs/>
          <w:lang w:val="en-CA"/>
        </w:rPr>
        <w:t>graphs</w:t>
      </w:r>
      <w:r w:rsidRPr="004957A3">
        <w:rPr>
          <w:rFonts w:ascii="Garamond" w:hAnsi="Garamond" w:cs="Arial"/>
          <w:iCs/>
          <w:lang w:val="en-CA"/>
        </w:rPr>
        <w:t xml:space="preserve"> 66</w:t>
      </w:r>
      <w:r w:rsidR="004F0A2A" w:rsidRPr="004957A3">
        <w:rPr>
          <w:rFonts w:ascii="Garamond" w:hAnsi="Garamond" w:cs="Arial"/>
          <w:iCs/>
          <w:lang w:val="en-CA"/>
        </w:rPr>
        <w:t>-</w:t>
      </w:r>
      <w:r w:rsidRPr="004957A3">
        <w:rPr>
          <w:rFonts w:ascii="Garamond" w:hAnsi="Garamond" w:cs="Arial"/>
          <w:iCs/>
          <w:lang w:val="en-CA"/>
        </w:rPr>
        <w:t>67, 143</w:t>
      </w:r>
      <w:r w:rsidR="004F0A2A" w:rsidRPr="004957A3">
        <w:rPr>
          <w:rFonts w:ascii="Garamond" w:hAnsi="Garamond" w:cs="Arial"/>
          <w:iCs/>
          <w:lang w:val="en-CA"/>
        </w:rPr>
        <w:t>-163</w:t>
      </w:r>
      <w:r w:rsidRPr="004957A3">
        <w:rPr>
          <w:rFonts w:ascii="Garamond" w:hAnsi="Garamond" w:cs="Arial"/>
          <w:iCs/>
          <w:lang w:val="en-CA"/>
        </w:rPr>
        <w:t>.)</w:t>
      </w:r>
    </w:p>
    <w:p w14:paraId="0C7EAC52" w14:textId="63310E31" w:rsidR="00F7121F" w:rsidRPr="004957A3" w:rsidRDefault="00F7121F" w:rsidP="004957A3">
      <w:pPr>
        <w:pStyle w:val="ListParagraph"/>
        <w:numPr>
          <w:ilvl w:val="0"/>
          <w:numId w:val="22"/>
        </w:numPr>
        <w:ind w:left="1134"/>
        <w:rPr>
          <w:rFonts w:ascii="Garamond" w:hAnsi="Garamond"/>
        </w:rPr>
      </w:pPr>
      <w:r w:rsidRPr="004957A3">
        <w:rPr>
          <w:rFonts w:ascii="Garamond" w:hAnsi="Garamond"/>
          <w:bCs/>
        </w:rPr>
        <w:t xml:space="preserve">International Law Commission, </w:t>
      </w:r>
      <w:hyperlink r:id="rId34" w:history="1">
        <w:r w:rsidRPr="004957A3">
          <w:rPr>
            <w:rStyle w:val="Hyperlink"/>
            <w:rFonts w:ascii="Garamond" w:hAnsi="Garamond"/>
            <w:bCs/>
            <w:i/>
            <w:iCs/>
          </w:rPr>
          <w:t>Dr</w:t>
        </w:r>
        <w:r w:rsidRPr="004957A3">
          <w:rPr>
            <w:rStyle w:val="Hyperlink"/>
            <w:rFonts w:ascii="Garamond" w:hAnsi="Garamond"/>
            <w:bCs/>
            <w:i/>
            <w:iCs/>
          </w:rPr>
          <w:t>a</w:t>
        </w:r>
        <w:r w:rsidRPr="004957A3">
          <w:rPr>
            <w:rStyle w:val="Hyperlink"/>
            <w:rFonts w:ascii="Garamond" w:hAnsi="Garamond"/>
            <w:bCs/>
            <w:i/>
            <w:iCs/>
          </w:rPr>
          <w:t>ft articles on Responsibility of States for Internationally Wrongful Acts</w:t>
        </w:r>
      </w:hyperlink>
      <w:r w:rsidRPr="004957A3">
        <w:rPr>
          <w:rFonts w:ascii="Garamond" w:hAnsi="Garamond"/>
          <w:bCs/>
        </w:rPr>
        <w:t xml:space="preserve"> (2001)</w:t>
      </w:r>
      <w:r w:rsidR="004F0A2A" w:rsidRPr="004957A3">
        <w:rPr>
          <w:rFonts w:ascii="Garamond" w:hAnsi="Garamond"/>
          <w:bCs/>
        </w:rPr>
        <w:t>.</w:t>
      </w:r>
      <w:r w:rsidR="00C72A78" w:rsidRPr="004957A3">
        <w:rPr>
          <w:rFonts w:ascii="Garamond" w:hAnsi="Garamond"/>
          <w:bCs/>
        </w:rPr>
        <w:t xml:space="preserve"> </w:t>
      </w:r>
    </w:p>
    <w:p w14:paraId="1D6FB5CE" w14:textId="77777777" w:rsidR="00386A60" w:rsidRPr="004A0F32" w:rsidRDefault="00386A60" w:rsidP="00386A60">
      <w:pPr>
        <w:pStyle w:val="ListParagraph"/>
        <w:ind w:left="1080"/>
        <w:rPr>
          <w:rFonts w:ascii="Garamond" w:hAnsi="Garamond"/>
        </w:rPr>
      </w:pPr>
    </w:p>
    <w:p w14:paraId="1864D89A" w14:textId="77777777" w:rsidR="00386A60" w:rsidRDefault="00386A60" w:rsidP="00F7121F">
      <w:pPr>
        <w:rPr>
          <w:rFonts w:ascii="Garamond" w:hAnsi="Garamond"/>
        </w:rPr>
      </w:pPr>
    </w:p>
    <w:p w14:paraId="511B9805" w14:textId="523D78FE" w:rsidR="00F7121F" w:rsidRPr="004A0F32" w:rsidRDefault="009D700B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Disputes, part I (Claims, adjudication of disputes and third-party settlements</w:t>
      </w:r>
      <w:r w:rsidR="006C44B4">
        <w:rPr>
          <w:rFonts w:ascii="Garamond" w:hAnsi="Garamond"/>
          <w:b/>
          <w:bCs/>
        </w:rPr>
        <w:t xml:space="preserve">: </w:t>
      </w:r>
      <w:r w:rsidR="00AF57A5">
        <w:rPr>
          <w:rFonts w:ascii="Garamond" w:hAnsi="Garamond"/>
          <w:b/>
          <w:bCs/>
        </w:rPr>
        <w:t xml:space="preserve">inter-state cases before the </w:t>
      </w:r>
      <w:r w:rsidR="007E030C">
        <w:rPr>
          <w:rFonts w:ascii="Garamond" w:hAnsi="Garamond"/>
          <w:b/>
          <w:bCs/>
        </w:rPr>
        <w:t>International Court of Justice</w:t>
      </w:r>
      <w:r>
        <w:rPr>
          <w:rFonts w:ascii="Garamond" w:hAnsi="Garamond"/>
          <w:b/>
          <w:bCs/>
        </w:rPr>
        <w:t xml:space="preserve">) </w:t>
      </w:r>
      <w:r w:rsidR="00386A60" w:rsidRPr="004A0F32">
        <w:rPr>
          <w:rFonts w:ascii="Garamond" w:hAnsi="Garamond"/>
          <w:b/>
          <w:bCs/>
        </w:rPr>
        <w:t>(Week 8, Tuesday 29</w:t>
      </w:r>
      <w:r w:rsidR="00386A60" w:rsidRPr="004A0F32">
        <w:rPr>
          <w:rFonts w:ascii="Garamond" w:hAnsi="Garamond"/>
          <w:b/>
          <w:bCs/>
          <w:vertAlign w:val="superscript"/>
        </w:rPr>
        <w:t>th</w:t>
      </w:r>
      <w:r w:rsidR="00386A60" w:rsidRPr="004A0F32">
        <w:rPr>
          <w:rFonts w:ascii="Garamond" w:hAnsi="Garamond"/>
          <w:b/>
          <w:bCs/>
        </w:rPr>
        <w:t xml:space="preserve"> October)</w:t>
      </w:r>
    </w:p>
    <w:p w14:paraId="2AA3E5E3" w14:textId="77777777" w:rsidR="00F7121F" w:rsidRPr="004A0F32" w:rsidRDefault="00F7121F" w:rsidP="00F7121F">
      <w:pPr>
        <w:ind w:firstLine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2D5B0CA1" w14:textId="77777777" w:rsidR="007E030C" w:rsidRDefault="007E030C" w:rsidP="007E030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</w:t>
      </w:r>
      <w:r>
        <w:rPr>
          <w:rFonts w:ascii="Garamond" w:hAnsi="Garamond"/>
        </w:rPr>
        <w:t>, Chapter 13.</w:t>
      </w:r>
    </w:p>
    <w:p w14:paraId="19003E6E" w14:textId="77777777" w:rsidR="007E030C" w:rsidRPr="004A0F32" w:rsidRDefault="007E030C" w:rsidP="007E030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</w:t>
      </w:r>
      <w:r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3</w:t>
      </w:r>
      <w:r>
        <w:rPr>
          <w:rFonts w:ascii="Garamond" w:hAnsi="Garamond"/>
        </w:rPr>
        <w:t>1-32.</w:t>
      </w:r>
    </w:p>
    <w:p w14:paraId="3967AF71" w14:textId="77777777" w:rsidR="007E030C" w:rsidRPr="004A0F32" w:rsidRDefault="007E030C" w:rsidP="007E030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</w:t>
      </w:r>
      <w:r>
        <w:rPr>
          <w:rFonts w:ascii="Garamond" w:hAnsi="Garamond"/>
        </w:rPr>
        <w:t>s 17-18</w:t>
      </w:r>
      <w:r w:rsidRPr="004A0F32">
        <w:rPr>
          <w:rFonts w:ascii="Garamond" w:hAnsi="Garamond"/>
        </w:rPr>
        <w:t>.</w:t>
      </w:r>
    </w:p>
    <w:p w14:paraId="2013165B" w14:textId="77777777" w:rsidR="00F7121F" w:rsidRPr="004A0F32" w:rsidRDefault="00F7121F" w:rsidP="007E030C">
      <w:pPr>
        <w:rPr>
          <w:rFonts w:ascii="Garamond" w:hAnsi="Garamond"/>
        </w:rPr>
      </w:pPr>
    </w:p>
    <w:p w14:paraId="174D682B" w14:textId="77777777" w:rsidR="00F7121F" w:rsidRPr="004A0F32" w:rsidRDefault="00F7121F" w:rsidP="00F7121F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1C2D99CF" w14:textId="28AE56CE" w:rsidR="00491EE6" w:rsidRDefault="00E43ADF" w:rsidP="007E030C">
      <w:pPr>
        <w:pStyle w:val="ListParagraph"/>
        <w:numPr>
          <w:ilvl w:val="0"/>
          <w:numId w:val="22"/>
        </w:numPr>
        <w:ind w:left="993"/>
        <w:rPr>
          <w:rFonts w:ascii="Garamond" w:hAnsi="Garamond"/>
          <w:i/>
          <w:iCs/>
        </w:rPr>
      </w:pPr>
      <w:r w:rsidRPr="00E43ADF">
        <w:rPr>
          <w:rFonts w:ascii="Garamond" w:hAnsi="Garamond"/>
          <w:i/>
          <w:iCs/>
        </w:rPr>
        <w:t xml:space="preserve">United States Diplomatic and Consular Staff in Tehran, </w:t>
      </w:r>
      <w:hyperlink r:id="rId35" w:history="1">
        <w:r w:rsidRPr="00FA4127">
          <w:rPr>
            <w:rStyle w:val="Hyperlink"/>
            <w:rFonts w:ascii="Garamond" w:hAnsi="Garamond"/>
          </w:rPr>
          <w:t>Judgment</w:t>
        </w:r>
      </w:hyperlink>
      <w:r w:rsidRPr="00E43ADF">
        <w:rPr>
          <w:rFonts w:ascii="Garamond" w:hAnsi="Garamond"/>
          <w:i/>
          <w:iCs/>
        </w:rPr>
        <w:t xml:space="preserve">, </w:t>
      </w:r>
      <w:r w:rsidR="00FA4127">
        <w:rPr>
          <w:rFonts w:ascii="Garamond" w:hAnsi="Garamond"/>
        </w:rPr>
        <w:t>I</w:t>
      </w:r>
      <w:r w:rsidRPr="00E43ADF">
        <w:rPr>
          <w:rFonts w:ascii="Garamond" w:hAnsi="Garamond"/>
        </w:rPr>
        <w:t xml:space="preserve">.C.J. Reports 1980, </w:t>
      </w:r>
      <w:r w:rsidR="00491EE6">
        <w:rPr>
          <w:rFonts w:ascii="Garamond" w:hAnsi="Garamond"/>
        </w:rPr>
        <w:t>paragraphs 56-94.</w:t>
      </w:r>
    </w:p>
    <w:p w14:paraId="4DDF0315" w14:textId="2174E2CD" w:rsidR="007E030C" w:rsidRPr="00EE3174" w:rsidRDefault="007E030C" w:rsidP="007E030C">
      <w:pPr>
        <w:pStyle w:val="ListParagraph"/>
        <w:numPr>
          <w:ilvl w:val="0"/>
          <w:numId w:val="22"/>
        </w:numPr>
        <w:ind w:left="993"/>
        <w:rPr>
          <w:rFonts w:ascii="Garamond" w:hAnsi="Garamond"/>
          <w:i/>
          <w:iCs/>
        </w:rPr>
      </w:pPr>
      <w:r w:rsidRPr="00EE3174">
        <w:rPr>
          <w:rFonts w:ascii="Garamond" w:hAnsi="Garamond"/>
          <w:i/>
          <w:iCs/>
        </w:rPr>
        <w:t xml:space="preserve">Application of the Convention on the Prevention and Punishment of the Crime of Genocide (The Gambia v. Myanmar), </w:t>
      </w:r>
      <w:hyperlink r:id="rId36" w:history="1">
        <w:r w:rsidRPr="00204A85">
          <w:rPr>
            <w:rStyle w:val="Hyperlink"/>
            <w:rFonts w:ascii="Garamond" w:hAnsi="Garamond"/>
          </w:rPr>
          <w:t>Provisional Measures</w:t>
        </w:r>
      </w:hyperlink>
      <w:r w:rsidRPr="00EE3174">
        <w:rPr>
          <w:rFonts w:ascii="Garamond" w:hAnsi="Garamond"/>
          <w:i/>
          <w:iCs/>
        </w:rPr>
        <w:t xml:space="preserve">, </w:t>
      </w:r>
      <w:r w:rsidRPr="00204A85">
        <w:rPr>
          <w:rFonts w:ascii="Garamond" w:hAnsi="Garamond"/>
        </w:rPr>
        <w:t>Order of 23 January 2020</w:t>
      </w:r>
      <w:r w:rsidRPr="00EE3174">
        <w:rPr>
          <w:rFonts w:ascii="Garamond" w:hAnsi="Garamond"/>
        </w:rPr>
        <w:t>, I.C.J. Reports 2020</w:t>
      </w:r>
      <w:r>
        <w:rPr>
          <w:rFonts w:ascii="Garamond" w:hAnsi="Garamond"/>
        </w:rPr>
        <w:t>.</w:t>
      </w:r>
    </w:p>
    <w:p w14:paraId="7F862899" w14:textId="421BA57E" w:rsidR="007E030C" w:rsidRDefault="007E030C" w:rsidP="007E030C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 w:rsidRPr="008C5375">
        <w:rPr>
          <w:rFonts w:ascii="Garamond" w:hAnsi="Garamond"/>
          <w:i/>
          <w:iCs/>
        </w:rPr>
        <w:t>Allegations of Genocide under the Convention on the Prevention and Punishment of the Crime of Genocide (Ukraine v. Russian Federation)</w:t>
      </w:r>
      <w:r w:rsidRPr="008C5375">
        <w:rPr>
          <w:rFonts w:ascii="Garamond" w:hAnsi="Garamond"/>
        </w:rPr>
        <w:t xml:space="preserve">, </w:t>
      </w:r>
      <w:hyperlink r:id="rId37" w:history="1">
        <w:r w:rsidRPr="008C5375">
          <w:rPr>
            <w:rStyle w:val="Hyperlink"/>
            <w:rFonts w:ascii="Garamond" w:hAnsi="Garamond"/>
          </w:rPr>
          <w:t>Provisional Measures</w:t>
        </w:r>
      </w:hyperlink>
      <w:r w:rsidRPr="008C5375">
        <w:rPr>
          <w:rFonts w:ascii="Garamond" w:hAnsi="Garamond"/>
        </w:rPr>
        <w:t xml:space="preserve">, Order of 16 March 2022, I.C.J. Reports </w:t>
      </w:r>
      <w:r w:rsidR="003A0A49">
        <w:rPr>
          <w:rFonts w:ascii="Garamond" w:hAnsi="Garamond"/>
        </w:rPr>
        <w:t>2</w:t>
      </w:r>
      <w:r w:rsidRPr="008C5375">
        <w:rPr>
          <w:rFonts w:ascii="Garamond" w:hAnsi="Garamond"/>
        </w:rPr>
        <w:t>022</w:t>
      </w:r>
      <w:r>
        <w:rPr>
          <w:rFonts w:ascii="Garamond" w:hAnsi="Garamond"/>
        </w:rPr>
        <w:t>.</w:t>
      </w:r>
    </w:p>
    <w:p w14:paraId="58D06BF8" w14:textId="77777777" w:rsidR="007E030C" w:rsidRDefault="007E030C" w:rsidP="007E030C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 w:rsidRPr="00EE3174">
        <w:rPr>
          <w:rFonts w:ascii="Garamond" w:hAnsi="Garamond"/>
          <w:i/>
          <w:iCs/>
        </w:rPr>
        <w:t>Application of the Convention on the Prevention and Punishment of the Crime of Genocide (</w:t>
      </w:r>
      <w:r>
        <w:rPr>
          <w:rFonts w:ascii="Garamond" w:hAnsi="Garamond"/>
          <w:i/>
          <w:iCs/>
        </w:rPr>
        <w:t>South Africa</w:t>
      </w:r>
      <w:r w:rsidRPr="00EE3174">
        <w:rPr>
          <w:rFonts w:ascii="Garamond" w:hAnsi="Garamond"/>
          <w:i/>
          <w:iCs/>
        </w:rPr>
        <w:t xml:space="preserve"> v. </w:t>
      </w:r>
      <w:r>
        <w:rPr>
          <w:rFonts w:ascii="Garamond" w:hAnsi="Garamond"/>
          <w:i/>
          <w:iCs/>
        </w:rPr>
        <w:t>Israel</w:t>
      </w:r>
      <w:r w:rsidRPr="00EE3174">
        <w:rPr>
          <w:rFonts w:ascii="Garamond" w:hAnsi="Garamond"/>
          <w:i/>
          <w:iCs/>
        </w:rPr>
        <w:t xml:space="preserve">), </w:t>
      </w:r>
      <w:hyperlink r:id="rId38" w:history="1">
        <w:r w:rsidRPr="008C5375">
          <w:rPr>
            <w:rStyle w:val="Hyperlink"/>
            <w:rFonts w:ascii="Garamond" w:hAnsi="Garamond"/>
          </w:rPr>
          <w:t>Provisional Measures</w:t>
        </w:r>
      </w:hyperlink>
      <w:r>
        <w:rPr>
          <w:rFonts w:ascii="Garamond" w:hAnsi="Garamond"/>
        </w:rPr>
        <w:t>, Order of 26 January 2024.</w:t>
      </w:r>
    </w:p>
    <w:p w14:paraId="18533196" w14:textId="28AF516B" w:rsidR="00C1797D" w:rsidRDefault="00C1797D" w:rsidP="007E030C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 w:rsidRPr="00C1797D">
        <w:rPr>
          <w:rFonts w:ascii="Garamond" w:hAnsi="Garamond"/>
        </w:rPr>
        <w:t>Leg</w:t>
      </w:r>
      <w:r w:rsidRPr="00913923">
        <w:rPr>
          <w:rFonts w:ascii="Garamond" w:hAnsi="Garamond"/>
          <w:i/>
          <w:iCs/>
        </w:rPr>
        <w:t>al Consequences of the Separation of the Chagos Archipelago from Mauritius in 1965</w:t>
      </w:r>
      <w:r w:rsidRPr="00C1797D">
        <w:rPr>
          <w:rFonts w:ascii="Garamond" w:hAnsi="Garamond"/>
        </w:rPr>
        <w:t xml:space="preserve">, </w:t>
      </w:r>
      <w:hyperlink r:id="rId39" w:history="1">
        <w:r w:rsidRPr="00913923">
          <w:rPr>
            <w:rStyle w:val="Hyperlink"/>
            <w:rFonts w:ascii="Garamond" w:hAnsi="Garamond"/>
          </w:rPr>
          <w:t>Advisory Opinion</w:t>
        </w:r>
      </w:hyperlink>
      <w:r w:rsidRPr="00C1797D">
        <w:rPr>
          <w:rFonts w:ascii="Garamond" w:hAnsi="Garamond"/>
        </w:rPr>
        <w:t>, I.C.J. Reports 2019</w:t>
      </w:r>
      <w:r w:rsidR="008D54E5">
        <w:rPr>
          <w:rFonts w:ascii="Garamond" w:hAnsi="Garamond"/>
        </w:rPr>
        <w:t>, paragraphs 132-</w:t>
      </w:r>
      <w:r w:rsidR="00BA2C1A">
        <w:rPr>
          <w:rFonts w:ascii="Garamond" w:hAnsi="Garamond"/>
        </w:rPr>
        <w:t>182.</w:t>
      </w:r>
    </w:p>
    <w:p w14:paraId="2DBFFF67" w14:textId="7EDDD851" w:rsidR="00F7121F" w:rsidRPr="007E030C" w:rsidRDefault="00F7121F" w:rsidP="007E030C">
      <w:pPr>
        <w:rPr>
          <w:rFonts w:ascii="Garamond" w:hAnsi="Garamond"/>
        </w:rPr>
      </w:pPr>
    </w:p>
    <w:p w14:paraId="39B5DC39" w14:textId="77777777" w:rsidR="00F7121F" w:rsidRPr="004A0F32" w:rsidRDefault="00F7121F" w:rsidP="00F7121F">
      <w:pPr>
        <w:rPr>
          <w:rFonts w:ascii="Garamond" w:hAnsi="Garamond"/>
        </w:rPr>
      </w:pPr>
    </w:p>
    <w:p w14:paraId="10CE4D54" w14:textId="14BD8E17" w:rsidR="00F7121F" w:rsidRPr="001E2D8C" w:rsidRDefault="00ED64DC" w:rsidP="00F7121F">
      <w:pPr>
        <w:pStyle w:val="ListParagraph"/>
        <w:numPr>
          <w:ilvl w:val="0"/>
          <w:numId w:val="21"/>
        </w:num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Disputes</w:t>
      </w:r>
      <w:r w:rsidR="00240FF2">
        <w:rPr>
          <w:rFonts w:ascii="Garamond" w:hAnsi="Garamond"/>
          <w:b/>
          <w:bCs/>
        </w:rPr>
        <w:t xml:space="preserve">, </w:t>
      </w:r>
      <w:r w:rsidR="009D700B">
        <w:rPr>
          <w:rFonts w:ascii="Garamond" w:hAnsi="Garamond"/>
          <w:b/>
          <w:bCs/>
        </w:rPr>
        <w:t>part II</w:t>
      </w:r>
      <w:r>
        <w:rPr>
          <w:rFonts w:ascii="Garamond" w:hAnsi="Garamond"/>
          <w:b/>
          <w:bCs/>
        </w:rPr>
        <w:t xml:space="preserve"> (Claims, adjudication of disputes and third-party settlements</w:t>
      </w:r>
      <w:r w:rsidR="00D80B29">
        <w:rPr>
          <w:rFonts w:ascii="Garamond" w:hAnsi="Garamond"/>
          <w:b/>
          <w:bCs/>
        </w:rPr>
        <w:t>:</w:t>
      </w:r>
      <w:r w:rsidR="007E030C">
        <w:rPr>
          <w:rFonts w:ascii="Garamond" w:hAnsi="Garamond"/>
          <w:b/>
          <w:bCs/>
        </w:rPr>
        <w:t xml:space="preserve"> </w:t>
      </w:r>
      <w:r w:rsidR="00754BD3">
        <w:rPr>
          <w:rFonts w:ascii="Garamond" w:hAnsi="Garamond"/>
          <w:b/>
          <w:bCs/>
        </w:rPr>
        <w:t xml:space="preserve">inter-state cases before the </w:t>
      </w:r>
      <w:r w:rsidR="007E030C">
        <w:rPr>
          <w:rFonts w:ascii="Garamond" w:hAnsi="Garamond"/>
          <w:b/>
          <w:bCs/>
        </w:rPr>
        <w:t>ECtHR</w:t>
      </w:r>
      <w:r w:rsidR="00754BD3">
        <w:rPr>
          <w:rFonts w:ascii="Garamond" w:hAnsi="Garamond"/>
          <w:b/>
          <w:bCs/>
        </w:rPr>
        <w:t xml:space="preserve"> and PCA</w:t>
      </w:r>
      <w:r>
        <w:rPr>
          <w:rFonts w:ascii="Garamond" w:hAnsi="Garamond"/>
          <w:b/>
          <w:bCs/>
        </w:rPr>
        <w:t>)</w:t>
      </w:r>
      <w:r w:rsidR="00127C18">
        <w:rPr>
          <w:rFonts w:ascii="Garamond" w:hAnsi="Garamond"/>
          <w:b/>
          <w:bCs/>
        </w:rPr>
        <w:t xml:space="preserve"> (Week 9, Tuesday 5</w:t>
      </w:r>
      <w:r w:rsidR="00127C18" w:rsidRPr="00127C18">
        <w:rPr>
          <w:rFonts w:ascii="Garamond" w:hAnsi="Garamond"/>
          <w:b/>
          <w:bCs/>
          <w:vertAlign w:val="superscript"/>
        </w:rPr>
        <w:t>th</w:t>
      </w:r>
      <w:r w:rsidR="00127C18">
        <w:rPr>
          <w:rFonts w:ascii="Garamond" w:hAnsi="Garamond"/>
          <w:b/>
          <w:bCs/>
        </w:rPr>
        <w:t xml:space="preserve"> October)</w:t>
      </w:r>
    </w:p>
    <w:p w14:paraId="6D77B0F7" w14:textId="2847C172" w:rsidR="00ED64DC" w:rsidRPr="004A0F32" w:rsidRDefault="00ED64DC" w:rsidP="00ED64DC">
      <w:pPr>
        <w:ind w:firstLine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Textbooks</w:t>
      </w:r>
    </w:p>
    <w:p w14:paraId="227AF644" w14:textId="74BEA50D" w:rsidR="00ED64DC" w:rsidRDefault="00ED64DC" w:rsidP="00ED64D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Cassese</w:t>
      </w:r>
      <w:r>
        <w:rPr>
          <w:rFonts w:ascii="Garamond" w:hAnsi="Garamond"/>
        </w:rPr>
        <w:t>, Chapter 13.</w:t>
      </w:r>
    </w:p>
    <w:p w14:paraId="07D6B3AA" w14:textId="50CEDAEF" w:rsidR="00ED64DC" w:rsidRPr="004A0F32" w:rsidRDefault="00ED64DC" w:rsidP="00ED64D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Brownlie, Chapter</w:t>
      </w:r>
      <w:r>
        <w:rPr>
          <w:rFonts w:ascii="Garamond" w:hAnsi="Garamond"/>
        </w:rPr>
        <w:t>s</w:t>
      </w:r>
      <w:r w:rsidRPr="004A0F32">
        <w:rPr>
          <w:rFonts w:ascii="Garamond" w:hAnsi="Garamond"/>
        </w:rPr>
        <w:t xml:space="preserve"> 3</w:t>
      </w:r>
      <w:r>
        <w:rPr>
          <w:rFonts w:ascii="Garamond" w:hAnsi="Garamond"/>
        </w:rPr>
        <w:t>1-32.</w:t>
      </w:r>
    </w:p>
    <w:p w14:paraId="52B722ED" w14:textId="4908B459" w:rsidR="00ED64DC" w:rsidRPr="004A0F32" w:rsidRDefault="00ED64DC" w:rsidP="00ED64DC">
      <w:pPr>
        <w:pStyle w:val="ListParagraph"/>
        <w:numPr>
          <w:ilvl w:val="0"/>
          <w:numId w:val="22"/>
        </w:numPr>
        <w:ind w:left="1080"/>
        <w:rPr>
          <w:rFonts w:ascii="Garamond" w:hAnsi="Garamond"/>
        </w:rPr>
      </w:pPr>
      <w:r w:rsidRPr="004A0F32">
        <w:rPr>
          <w:rFonts w:ascii="Garamond" w:hAnsi="Garamond"/>
        </w:rPr>
        <w:t>Shaw, Chapter</w:t>
      </w:r>
      <w:r>
        <w:rPr>
          <w:rFonts w:ascii="Garamond" w:hAnsi="Garamond"/>
        </w:rPr>
        <w:t>s 17-18</w:t>
      </w:r>
      <w:r w:rsidRPr="004A0F32">
        <w:rPr>
          <w:rFonts w:ascii="Garamond" w:hAnsi="Garamond"/>
        </w:rPr>
        <w:t>.</w:t>
      </w:r>
    </w:p>
    <w:p w14:paraId="6524EE75" w14:textId="77777777" w:rsidR="00ED64DC" w:rsidRDefault="00ED64DC" w:rsidP="00ED64DC">
      <w:pPr>
        <w:rPr>
          <w:rFonts w:ascii="Garamond" w:hAnsi="Garamond"/>
          <w:i/>
          <w:iCs/>
        </w:rPr>
      </w:pPr>
    </w:p>
    <w:p w14:paraId="6055E88E" w14:textId="77777777" w:rsidR="00ED64DC" w:rsidRPr="004A0F32" w:rsidRDefault="00ED64DC" w:rsidP="00ED64DC">
      <w:pPr>
        <w:ind w:left="720"/>
        <w:rPr>
          <w:rFonts w:ascii="Garamond" w:hAnsi="Garamond"/>
          <w:u w:val="single"/>
        </w:rPr>
      </w:pPr>
      <w:r w:rsidRPr="004A0F32">
        <w:rPr>
          <w:rFonts w:ascii="Garamond" w:hAnsi="Garamond"/>
          <w:u w:val="single"/>
        </w:rPr>
        <w:t>Additional Reading</w:t>
      </w:r>
    </w:p>
    <w:p w14:paraId="10866FFC" w14:textId="02C58355" w:rsidR="008C5375" w:rsidRDefault="008C5375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 w:rsidRPr="004338EB">
        <w:rPr>
          <w:rFonts w:ascii="Garamond" w:hAnsi="Garamond"/>
        </w:rPr>
        <w:t xml:space="preserve">ECtHR, </w:t>
      </w:r>
      <w:r w:rsidRPr="004338EB">
        <w:rPr>
          <w:rFonts w:ascii="Garamond" w:hAnsi="Garamond"/>
          <w:i/>
          <w:iCs/>
        </w:rPr>
        <w:t xml:space="preserve">Ireland v. United Kingdom, </w:t>
      </w:r>
      <w:hyperlink r:id="rId40" w:anchor="{%22itemid%22:[%22001-57506%22]}" w:history="1">
        <w:r w:rsidRPr="004338EB">
          <w:rPr>
            <w:rStyle w:val="Hyperlink"/>
            <w:rFonts w:ascii="Garamond" w:hAnsi="Garamond"/>
          </w:rPr>
          <w:t>Judge</w:t>
        </w:r>
        <w:r w:rsidRPr="004338EB">
          <w:rPr>
            <w:rStyle w:val="Hyperlink"/>
            <w:rFonts w:ascii="Garamond" w:hAnsi="Garamond"/>
          </w:rPr>
          <w:t>m</w:t>
        </w:r>
        <w:r w:rsidRPr="004338EB">
          <w:rPr>
            <w:rStyle w:val="Hyperlink"/>
            <w:rFonts w:ascii="Garamond" w:hAnsi="Garamond"/>
          </w:rPr>
          <w:t>ent</w:t>
        </w:r>
      </w:hyperlink>
      <w:r w:rsidRPr="004338EB">
        <w:rPr>
          <w:rFonts w:ascii="Garamond" w:hAnsi="Garamond"/>
          <w:i/>
          <w:iCs/>
        </w:rPr>
        <w:t xml:space="preserve">, </w:t>
      </w:r>
      <w:r w:rsidRPr="004338EB">
        <w:rPr>
          <w:rFonts w:ascii="Garamond" w:hAnsi="Garamond"/>
        </w:rPr>
        <w:t>18 January 1978</w:t>
      </w:r>
      <w:r w:rsidR="0090320B">
        <w:rPr>
          <w:rFonts w:ascii="Garamond" w:hAnsi="Garamond"/>
        </w:rPr>
        <w:t>, paragraphs 150-187.</w:t>
      </w:r>
    </w:p>
    <w:p w14:paraId="2C198371" w14:textId="3816CC61" w:rsidR="00D57720" w:rsidRDefault="00D57720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>
        <w:rPr>
          <w:rFonts w:ascii="Garamond" w:hAnsi="Garamond"/>
        </w:rPr>
        <w:t xml:space="preserve">ECtHR, </w:t>
      </w:r>
      <w:r w:rsidR="008E59C1" w:rsidRPr="006D501D">
        <w:rPr>
          <w:rFonts w:ascii="Garamond" w:hAnsi="Garamond"/>
          <w:i/>
          <w:iCs/>
        </w:rPr>
        <w:t>Cyprus v. Turkey</w:t>
      </w:r>
      <w:r w:rsidR="008E59C1">
        <w:rPr>
          <w:rFonts w:ascii="Garamond" w:hAnsi="Garamond"/>
        </w:rPr>
        <w:t xml:space="preserve">, </w:t>
      </w:r>
      <w:hyperlink r:id="rId41" w:history="1">
        <w:r w:rsidR="008E59C1" w:rsidRPr="006D501D">
          <w:rPr>
            <w:rStyle w:val="Hyperlink"/>
            <w:rFonts w:ascii="Garamond" w:hAnsi="Garamond"/>
          </w:rPr>
          <w:t>Judgement</w:t>
        </w:r>
      </w:hyperlink>
      <w:r w:rsidR="008E59C1">
        <w:rPr>
          <w:rFonts w:ascii="Garamond" w:hAnsi="Garamond"/>
        </w:rPr>
        <w:t xml:space="preserve">, </w:t>
      </w:r>
      <w:r w:rsidR="00E34C36">
        <w:rPr>
          <w:rFonts w:ascii="Garamond" w:hAnsi="Garamond"/>
        </w:rPr>
        <w:t>10 May 2001</w:t>
      </w:r>
      <w:r w:rsidR="00155959">
        <w:rPr>
          <w:rFonts w:ascii="Garamond" w:hAnsi="Garamond"/>
        </w:rPr>
        <w:t>, paragraphs 281-311.</w:t>
      </w:r>
    </w:p>
    <w:p w14:paraId="2A71AC01" w14:textId="04AAEC6D" w:rsidR="001D43EC" w:rsidRDefault="001D43EC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>
        <w:rPr>
          <w:rFonts w:ascii="Garamond" w:hAnsi="Garamond"/>
        </w:rPr>
        <w:t xml:space="preserve">ECtHR, </w:t>
      </w:r>
      <w:r w:rsidR="00932237" w:rsidRPr="00CB7D80">
        <w:rPr>
          <w:rFonts w:ascii="Garamond" w:hAnsi="Garamond"/>
          <w:i/>
          <w:iCs/>
        </w:rPr>
        <w:t>Ukraine and the Netherlands v. Russia</w:t>
      </w:r>
      <w:r w:rsidR="00932237">
        <w:rPr>
          <w:rFonts w:ascii="Garamond" w:hAnsi="Garamond"/>
        </w:rPr>
        <w:t xml:space="preserve">, </w:t>
      </w:r>
      <w:r w:rsidR="00CB7D80">
        <w:rPr>
          <w:rFonts w:ascii="Garamond" w:hAnsi="Garamond"/>
        </w:rPr>
        <w:t>Admissibility Decision</w:t>
      </w:r>
      <w:r w:rsidR="001F33E5">
        <w:rPr>
          <w:rFonts w:ascii="Garamond" w:hAnsi="Garamond"/>
        </w:rPr>
        <w:t xml:space="preserve"> </w:t>
      </w:r>
      <w:hyperlink r:id="rId42" w:anchor="{%22itemid%22:[%22002-13989%22]}" w:history="1">
        <w:r w:rsidR="001F33E5" w:rsidRPr="00BC0F79">
          <w:rPr>
            <w:rStyle w:val="Hyperlink"/>
            <w:rFonts w:ascii="Garamond" w:hAnsi="Garamond"/>
          </w:rPr>
          <w:t>Summary</w:t>
        </w:r>
      </w:hyperlink>
      <w:r w:rsidR="00CB7D80">
        <w:rPr>
          <w:rFonts w:ascii="Garamond" w:hAnsi="Garamond"/>
        </w:rPr>
        <w:t>, 30 November 2022.</w:t>
      </w:r>
    </w:p>
    <w:p w14:paraId="774A5055" w14:textId="325C8269" w:rsidR="0089458D" w:rsidRDefault="0089458D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>
        <w:rPr>
          <w:rFonts w:ascii="Garamond" w:hAnsi="Garamond"/>
        </w:rPr>
        <w:t>Helen Duffy</w:t>
      </w:r>
      <w:r w:rsidR="006C630E">
        <w:rPr>
          <w:rFonts w:ascii="Garamond" w:hAnsi="Garamond"/>
        </w:rPr>
        <w:t xml:space="preserve">, </w:t>
      </w:r>
      <w:r w:rsidR="00A333D8">
        <w:rPr>
          <w:rFonts w:ascii="Garamond" w:hAnsi="Garamond"/>
        </w:rPr>
        <w:t>‘</w:t>
      </w:r>
      <w:hyperlink r:id="rId43" w:history="1">
        <w:r w:rsidR="006C630E" w:rsidRPr="00A333D8">
          <w:rPr>
            <w:rStyle w:val="Hyperlink"/>
            <w:rFonts w:ascii="Garamond" w:hAnsi="Garamond"/>
          </w:rPr>
          <w:t>Georgia v. Russia: Jurisdiction, Chaos and Conflict at the European Court of Human Rights</w:t>
        </w:r>
      </w:hyperlink>
      <w:r w:rsidR="00A333D8">
        <w:rPr>
          <w:rFonts w:ascii="Garamond" w:hAnsi="Garamond"/>
        </w:rPr>
        <w:t xml:space="preserve">’, </w:t>
      </w:r>
      <w:r w:rsidR="006C630E" w:rsidRPr="006C630E">
        <w:rPr>
          <w:rFonts w:ascii="Garamond" w:hAnsi="Garamond"/>
          <w:i/>
          <w:iCs/>
        </w:rPr>
        <w:t>Just Security</w:t>
      </w:r>
      <w:r w:rsidR="006C630E">
        <w:rPr>
          <w:rFonts w:ascii="Garamond" w:hAnsi="Garamond"/>
        </w:rPr>
        <w:t>, 2 February 2021.</w:t>
      </w:r>
    </w:p>
    <w:p w14:paraId="031BB897" w14:textId="6D92354E" w:rsidR="00A333D8" w:rsidRDefault="00A333D8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>
        <w:rPr>
          <w:rFonts w:ascii="Garamond" w:hAnsi="Garamond"/>
        </w:rPr>
        <w:t>Mark Milanovic,</w:t>
      </w:r>
      <w:r w:rsidR="00795BAD">
        <w:rPr>
          <w:rFonts w:ascii="Garamond" w:hAnsi="Garamond"/>
        </w:rPr>
        <w:t xml:space="preserve"> </w:t>
      </w:r>
      <w:r w:rsidR="00B5102A">
        <w:rPr>
          <w:rFonts w:ascii="Garamond" w:hAnsi="Garamond"/>
        </w:rPr>
        <w:t>‘</w:t>
      </w:r>
      <w:hyperlink r:id="rId44" w:history="1">
        <w:r w:rsidR="00795BAD" w:rsidRPr="00B5102A">
          <w:rPr>
            <w:rStyle w:val="Hyperlink"/>
            <w:rFonts w:ascii="Garamond" w:hAnsi="Garamond"/>
          </w:rPr>
          <w:t>Georgia v. Russia No. 2: The European Court’s Resurrection of Bankovic in the Contexts of Chaos</w:t>
        </w:r>
        <w:r w:rsidR="00B5102A" w:rsidRPr="00B5102A">
          <w:rPr>
            <w:rStyle w:val="Hyperlink"/>
            <w:rFonts w:ascii="Garamond" w:hAnsi="Garamond"/>
          </w:rPr>
          <w:t>’</w:t>
        </w:r>
      </w:hyperlink>
      <w:r w:rsidR="00795BAD">
        <w:rPr>
          <w:rFonts w:ascii="Garamond" w:hAnsi="Garamond"/>
        </w:rPr>
        <w:t xml:space="preserve">, </w:t>
      </w:r>
      <w:r w:rsidR="00795BAD" w:rsidRPr="00B5102A">
        <w:rPr>
          <w:rFonts w:ascii="Garamond" w:hAnsi="Garamond"/>
          <w:i/>
          <w:iCs/>
        </w:rPr>
        <w:t>EJIL T</w:t>
      </w:r>
      <w:r w:rsidR="00795BAD">
        <w:rPr>
          <w:rFonts w:ascii="Garamond" w:hAnsi="Garamond"/>
        </w:rPr>
        <w:t xml:space="preserve">alk!, </w:t>
      </w:r>
      <w:r w:rsidR="00B5102A">
        <w:rPr>
          <w:rFonts w:ascii="Garamond" w:hAnsi="Garamond"/>
        </w:rPr>
        <w:t>25 January 2021.</w:t>
      </w:r>
    </w:p>
    <w:p w14:paraId="34D8CCC6" w14:textId="784B3617" w:rsidR="00307D28" w:rsidRPr="004338EB" w:rsidRDefault="000D74B5" w:rsidP="004338EB">
      <w:pPr>
        <w:pStyle w:val="ListParagraph"/>
        <w:numPr>
          <w:ilvl w:val="0"/>
          <w:numId w:val="22"/>
        </w:numPr>
        <w:ind w:left="993"/>
        <w:rPr>
          <w:rFonts w:ascii="Garamond" w:hAnsi="Garamond"/>
        </w:rPr>
      </w:pPr>
      <w:r>
        <w:rPr>
          <w:rFonts w:ascii="Garamond" w:hAnsi="Garamond"/>
        </w:rPr>
        <w:t xml:space="preserve">Permanent Court of Arbitration, </w:t>
      </w:r>
      <w:r w:rsidR="00307D28" w:rsidRPr="000D74B5">
        <w:rPr>
          <w:rFonts w:ascii="Garamond" w:hAnsi="Garamond"/>
          <w:i/>
          <w:iCs/>
        </w:rPr>
        <w:t>The Government of Sudan</w:t>
      </w:r>
      <w:r w:rsidRPr="000D74B5">
        <w:rPr>
          <w:rFonts w:ascii="Garamond" w:hAnsi="Garamond"/>
          <w:i/>
          <w:iCs/>
        </w:rPr>
        <w:t xml:space="preserve"> v. </w:t>
      </w:r>
      <w:r w:rsidR="00307D28" w:rsidRPr="000D74B5">
        <w:rPr>
          <w:rFonts w:ascii="Garamond" w:hAnsi="Garamond"/>
          <w:i/>
          <w:iCs/>
        </w:rPr>
        <w:t>The Sudan People's Liberation Movement/Army</w:t>
      </w:r>
      <w:r w:rsidR="00307D28" w:rsidRPr="00307D28">
        <w:rPr>
          <w:rFonts w:ascii="Garamond" w:hAnsi="Garamond"/>
        </w:rPr>
        <w:t xml:space="preserve"> (Abyei Arbitration)</w:t>
      </w:r>
      <w:r w:rsidR="00307D28">
        <w:rPr>
          <w:rFonts w:ascii="Garamond" w:hAnsi="Garamond"/>
        </w:rPr>
        <w:t xml:space="preserve">, </w:t>
      </w:r>
      <w:hyperlink r:id="rId45" w:history="1">
        <w:r w:rsidR="00307D28" w:rsidRPr="00307D28">
          <w:rPr>
            <w:rStyle w:val="Hyperlink"/>
            <w:rFonts w:ascii="Garamond" w:hAnsi="Garamond"/>
          </w:rPr>
          <w:t>Final Award</w:t>
        </w:r>
      </w:hyperlink>
      <w:r w:rsidR="00307D28">
        <w:rPr>
          <w:rFonts w:ascii="Garamond" w:hAnsi="Garamond"/>
        </w:rPr>
        <w:t>, 22 July 2009, paragraphs 710-769.</w:t>
      </w:r>
    </w:p>
    <w:p w14:paraId="66268F67" w14:textId="43AEDB3E" w:rsidR="008C5375" w:rsidRPr="008C5375" w:rsidRDefault="008C5375" w:rsidP="008C5375">
      <w:pPr>
        <w:rPr>
          <w:rFonts w:ascii="Garamond" w:hAnsi="Garamond"/>
        </w:rPr>
      </w:pPr>
    </w:p>
    <w:sectPr w:rsidR="008C5375" w:rsidRPr="008C5375" w:rsidSect="00F22B01">
      <w:headerReference w:type="default" r:id="rId46"/>
      <w:footerReference w:type="default" r:id="rId4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3F151" w14:textId="77777777" w:rsidR="007C0691" w:rsidRDefault="007C0691">
      <w:r>
        <w:separator/>
      </w:r>
    </w:p>
  </w:endnote>
  <w:endnote w:type="continuationSeparator" w:id="0">
    <w:p w14:paraId="7CE4EBAD" w14:textId="77777777" w:rsidR="007C0691" w:rsidRDefault="007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054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0E366" w14:textId="4C0CB03B" w:rsidR="000D1070" w:rsidRDefault="000D1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35EAF" w14:textId="77777777" w:rsidR="00650CCA" w:rsidRPr="00A22DF4" w:rsidRDefault="00650CCA" w:rsidP="00F22B01">
    <w:pPr>
      <w:pStyle w:val="Footer"/>
      <w:tabs>
        <w:tab w:val="clear" w:pos="8306"/>
        <w:tab w:val="right" w:pos="9180"/>
      </w:tabs>
      <w:rPr>
        <w:rFonts w:ascii="Verdana" w:hAnsi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5C486" w14:textId="77777777" w:rsidR="007C0691" w:rsidRDefault="007C0691">
      <w:r>
        <w:separator/>
      </w:r>
    </w:p>
  </w:footnote>
  <w:footnote w:type="continuationSeparator" w:id="0">
    <w:p w14:paraId="2957EC4C" w14:textId="77777777" w:rsidR="007C0691" w:rsidRDefault="007C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A418" w14:textId="7D1C0449" w:rsidR="00650CCA" w:rsidRDefault="00650CCA">
    <w:pPr>
      <w:pStyle w:val="Header"/>
      <w:jc w:val="center"/>
      <w:rPr>
        <w:rFonts w:ascii="Verdana" w:hAnsi="Verdana"/>
        <w:b/>
        <w:bCs/>
        <w:sz w:val="20"/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05E"/>
    <w:multiLevelType w:val="hybridMultilevel"/>
    <w:tmpl w:val="851E5D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F31FF"/>
    <w:multiLevelType w:val="hybridMultilevel"/>
    <w:tmpl w:val="2DD00D38"/>
    <w:lvl w:ilvl="0" w:tplc="7F347A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68DB"/>
    <w:multiLevelType w:val="hybridMultilevel"/>
    <w:tmpl w:val="C03EBE6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4065"/>
    <w:multiLevelType w:val="hybridMultilevel"/>
    <w:tmpl w:val="35EAC5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F3A"/>
    <w:multiLevelType w:val="hybridMultilevel"/>
    <w:tmpl w:val="ACB2CB0A"/>
    <w:lvl w:ilvl="0" w:tplc="DD7A0F5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01D5D"/>
    <w:multiLevelType w:val="multilevel"/>
    <w:tmpl w:val="47D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90DFD"/>
    <w:multiLevelType w:val="hybridMultilevel"/>
    <w:tmpl w:val="249260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6E3E"/>
    <w:multiLevelType w:val="hybridMultilevel"/>
    <w:tmpl w:val="2E1AECA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A5522"/>
    <w:multiLevelType w:val="hybridMultilevel"/>
    <w:tmpl w:val="68EC896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71F03"/>
    <w:multiLevelType w:val="hybridMultilevel"/>
    <w:tmpl w:val="CB94A6A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615E9"/>
    <w:multiLevelType w:val="hybridMultilevel"/>
    <w:tmpl w:val="8A7AF95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196F4C"/>
    <w:multiLevelType w:val="hybridMultilevel"/>
    <w:tmpl w:val="2AAEB6B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42F"/>
    <w:multiLevelType w:val="hybridMultilevel"/>
    <w:tmpl w:val="3B64BC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C3F0C"/>
    <w:multiLevelType w:val="hybridMultilevel"/>
    <w:tmpl w:val="CE008F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4149"/>
    <w:multiLevelType w:val="hybridMultilevel"/>
    <w:tmpl w:val="4F4694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C4696"/>
    <w:multiLevelType w:val="hybridMultilevel"/>
    <w:tmpl w:val="B262F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41030"/>
    <w:multiLevelType w:val="hybridMultilevel"/>
    <w:tmpl w:val="AA8416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F50E85"/>
    <w:multiLevelType w:val="hybridMultilevel"/>
    <w:tmpl w:val="61BCD87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E000F5"/>
    <w:multiLevelType w:val="hybridMultilevel"/>
    <w:tmpl w:val="C2B04B3A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87759"/>
    <w:multiLevelType w:val="hybridMultilevel"/>
    <w:tmpl w:val="5B66D9F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914F4"/>
    <w:multiLevelType w:val="hybridMultilevel"/>
    <w:tmpl w:val="53B6D9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911A1"/>
    <w:multiLevelType w:val="hybridMultilevel"/>
    <w:tmpl w:val="0F7A081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712DE2"/>
    <w:multiLevelType w:val="hybridMultilevel"/>
    <w:tmpl w:val="F836EA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2B0A87"/>
    <w:multiLevelType w:val="hybridMultilevel"/>
    <w:tmpl w:val="23C6C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A1532"/>
    <w:multiLevelType w:val="hybridMultilevel"/>
    <w:tmpl w:val="B09A8F20"/>
    <w:lvl w:ilvl="0" w:tplc="34A28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46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5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6D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6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2F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CE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0E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44A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1756853">
    <w:abstractNumId w:val="3"/>
  </w:num>
  <w:num w:numId="2" w16cid:durableId="1121650730">
    <w:abstractNumId w:val="23"/>
  </w:num>
  <w:num w:numId="3" w16cid:durableId="505752710">
    <w:abstractNumId w:val="20"/>
  </w:num>
  <w:num w:numId="4" w16cid:durableId="366029923">
    <w:abstractNumId w:val="9"/>
  </w:num>
  <w:num w:numId="5" w16cid:durableId="660277386">
    <w:abstractNumId w:val="19"/>
  </w:num>
  <w:num w:numId="6" w16cid:durableId="1346862457">
    <w:abstractNumId w:val="18"/>
  </w:num>
  <w:num w:numId="7" w16cid:durableId="108355825">
    <w:abstractNumId w:val="11"/>
  </w:num>
  <w:num w:numId="8" w16cid:durableId="231932004">
    <w:abstractNumId w:val="2"/>
  </w:num>
  <w:num w:numId="9" w16cid:durableId="923298736">
    <w:abstractNumId w:val="7"/>
  </w:num>
  <w:num w:numId="10" w16cid:durableId="903376972">
    <w:abstractNumId w:val="6"/>
  </w:num>
  <w:num w:numId="11" w16cid:durableId="849561467">
    <w:abstractNumId w:val="10"/>
  </w:num>
  <w:num w:numId="12" w16cid:durableId="1741708511">
    <w:abstractNumId w:val="8"/>
  </w:num>
  <w:num w:numId="13" w16cid:durableId="1137063709">
    <w:abstractNumId w:val="21"/>
  </w:num>
  <w:num w:numId="14" w16cid:durableId="720907061">
    <w:abstractNumId w:val="16"/>
  </w:num>
  <w:num w:numId="15" w16cid:durableId="389689780">
    <w:abstractNumId w:val="5"/>
  </w:num>
  <w:num w:numId="16" w16cid:durableId="117721257">
    <w:abstractNumId w:val="17"/>
  </w:num>
  <w:num w:numId="17" w16cid:durableId="2143764781">
    <w:abstractNumId w:val="0"/>
  </w:num>
  <w:num w:numId="18" w16cid:durableId="2018993186">
    <w:abstractNumId w:val="12"/>
  </w:num>
  <w:num w:numId="19" w16cid:durableId="1061949227">
    <w:abstractNumId w:val="24"/>
  </w:num>
  <w:num w:numId="20" w16cid:durableId="1588922603">
    <w:abstractNumId w:val="1"/>
  </w:num>
  <w:num w:numId="21" w16cid:durableId="511845093">
    <w:abstractNumId w:val="22"/>
  </w:num>
  <w:num w:numId="22" w16cid:durableId="1955209367">
    <w:abstractNumId w:val="4"/>
  </w:num>
  <w:num w:numId="23" w16cid:durableId="840464901">
    <w:abstractNumId w:val="15"/>
  </w:num>
  <w:num w:numId="24" w16cid:durableId="345256027">
    <w:abstractNumId w:val="13"/>
  </w:num>
  <w:num w:numId="25" w16cid:durableId="118046294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FF"/>
    <w:rsid w:val="0000349B"/>
    <w:rsid w:val="00013017"/>
    <w:rsid w:val="0001385E"/>
    <w:rsid w:val="0001619E"/>
    <w:rsid w:val="00022973"/>
    <w:rsid w:val="00043989"/>
    <w:rsid w:val="000454AE"/>
    <w:rsid w:val="00056B52"/>
    <w:rsid w:val="000A3A4E"/>
    <w:rsid w:val="000C34E5"/>
    <w:rsid w:val="000C458E"/>
    <w:rsid w:val="000D1070"/>
    <w:rsid w:val="000D74B5"/>
    <w:rsid w:val="00127C18"/>
    <w:rsid w:val="00152003"/>
    <w:rsid w:val="00154224"/>
    <w:rsid w:val="00155959"/>
    <w:rsid w:val="001770C7"/>
    <w:rsid w:val="001C6674"/>
    <w:rsid w:val="001D3A15"/>
    <w:rsid w:val="001D43EC"/>
    <w:rsid w:val="001E2D8C"/>
    <w:rsid w:val="001E584F"/>
    <w:rsid w:val="001F152E"/>
    <w:rsid w:val="001F33E5"/>
    <w:rsid w:val="00204A85"/>
    <w:rsid w:val="00240FF2"/>
    <w:rsid w:val="0024655D"/>
    <w:rsid w:val="0029795A"/>
    <w:rsid w:val="002B2DD1"/>
    <w:rsid w:val="002E61DD"/>
    <w:rsid w:val="002F15A5"/>
    <w:rsid w:val="003045CD"/>
    <w:rsid w:val="00307D28"/>
    <w:rsid w:val="003223FE"/>
    <w:rsid w:val="00331266"/>
    <w:rsid w:val="00364148"/>
    <w:rsid w:val="0037149F"/>
    <w:rsid w:val="0038530A"/>
    <w:rsid w:val="00386A60"/>
    <w:rsid w:val="003A0A49"/>
    <w:rsid w:val="003A3650"/>
    <w:rsid w:val="003C6EFF"/>
    <w:rsid w:val="003D1AAD"/>
    <w:rsid w:val="003D2E1A"/>
    <w:rsid w:val="003E6767"/>
    <w:rsid w:val="003F2ADB"/>
    <w:rsid w:val="004010D3"/>
    <w:rsid w:val="004338EB"/>
    <w:rsid w:val="00437BE5"/>
    <w:rsid w:val="0046656C"/>
    <w:rsid w:val="00491EE6"/>
    <w:rsid w:val="004957A3"/>
    <w:rsid w:val="004A0F32"/>
    <w:rsid w:val="004A3551"/>
    <w:rsid w:val="004D66CA"/>
    <w:rsid w:val="004E6438"/>
    <w:rsid w:val="004F0A2A"/>
    <w:rsid w:val="005B1BAE"/>
    <w:rsid w:val="005D002F"/>
    <w:rsid w:val="005F1C7B"/>
    <w:rsid w:val="005F6CC4"/>
    <w:rsid w:val="00642B72"/>
    <w:rsid w:val="00650CCA"/>
    <w:rsid w:val="00653D4A"/>
    <w:rsid w:val="00660F57"/>
    <w:rsid w:val="006666AD"/>
    <w:rsid w:val="006A1E2A"/>
    <w:rsid w:val="006B681E"/>
    <w:rsid w:val="006C44B4"/>
    <w:rsid w:val="006C630E"/>
    <w:rsid w:val="006C7A1A"/>
    <w:rsid w:val="006D501D"/>
    <w:rsid w:val="006D781A"/>
    <w:rsid w:val="00715A45"/>
    <w:rsid w:val="007205AE"/>
    <w:rsid w:val="00730F45"/>
    <w:rsid w:val="00741F87"/>
    <w:rsid w:val="00754BD3"/>
    <w:rsid w:val="00795BAD"/>
    <w:rsid w:val="007C0691"/>
    <w:rsid w:val="007C43B2"/>
    <w:rsid w:val="007D3707"/>
    <w:rsid w:val="007E030C"/>
    <w:rsid w:val="007E4933"/>
    <w:rsid w:val="0089458D"/>
    <w:rsid w:val="008A5564"/>
    <w:rsid w:val="008B14A6"/>
    <w:rsid w:val="008C5375"/>
    <w:rsid w:val="008D54E5"/>
    <w:rsid w:val="008E59C1"/>
    <w:rsid w:val="008F59A7"/>
    <w:rsid w:val="0090320B"/>
    <w:rsid w:val="00911A27"/>
    <w:rsid w:val="00913923"/>
    <w:rsid w:val="009200E5"/>
    <w:rsid w:val="00932237"/>
    <w:rsid w:val="009674D1"/>
    <w:rsid w:val="0098291D"/>
    <w:rsid w:val="009855FA"/>
    <w:rsid w:val="009A7F9B"/>
    <w:rsid w:val="009B0EEE"/>
    <w:rsid w:val="009D0E44"/>
    <w:rsid w:val="009D4674"/>
    <w:rsid w:val="009D700B"/>
    <w:rsid w:val="009E5B4C"/>
    <w:rsid w:val="00A271AA"/>
    <w:rsid w:val="00A27B70"/>
    <w:rsid w:val="00A333D8"/>
    <w:rsid w:val="00A51E33"/>
    <w:rsid w:val="00A55007"/>
    <w:rsid w:val="00A6030A"/>
    <w:rsid w:val="00A67A2C"/>
    <w:rsid w:val="00AE0A18"/>
    <w:rsid w:val="00AF3143"/>
    <w:rsid w:val="00AF57A5"/>
    <w:rsid w:val="00B04788"/>
    <w:rsid w:val="00B23A58"/>
    <w:rsid w:val="00B5102A"/>
    <w:rsid w:val="00B617B4"/>
    <w:rsid w:val="00B75C06"/>
    <w:rsid w:val="00B852F5"/>
    <w:rsid w:val="00B95231"/>
    <w:rsid w:val="00BA2C1A"/>
    <w:rsid w:val="00BC0F79"/>
    <w:rsid w:val="00BC4FCA"/>
    <w:rsid w:val="00BD303E"/>
    <w:rsid w:val="00C15C20"/>
    <w:rsid w:val="00C1797D"/>
    <w:rsid w:val="00C25E57"/>
    <w:rsid w:val="00C50782"/>
    <w:rsid w:val="00C60EBC"/>
    <w:rsid w:val="00C656FC"/>
    <w:rsid w:val="00C72A78"/>
    <w:rsid w:val="00C81849"/>
    <w:rsid w:val="00C85FAB"/>
    <w:rsid w:val="00C90B31"/>
    <w:rsid w:val="00C95A91"/>
    <w:rsid w:val="00CB7D80"/>
    <w:rsid w:val="00CC4FE1"/>
    <w:rsid w:val="00CF5F5E"/>
    <w:rsid w:val="00CF6CCE"/>
    <w:rsid w:val="00D365F8"/>
    <w:rsid w:val="00D57720"/>
    <w:rsid w:val="00D70108"/>
    <w:rsid w:val="00D80B29"/>
    <w:rsid w:val="00D8677E"/>
    <w:rsid w:val="00D87422"/>
    <w:rsid w:val="00D9730A"/>
    <w:rsid w:val="00DB28C0"/>
    <w:rsid w:val="00DB32EB"/>
    <w:rsid w:val="00DC10F1"/>
    <w:rsid w:val="00DE1A5B"/>
    <w:rsid w:val="00DE691C"/>
    <w:rsid w:val="00E05BFC"/>
    <w:rsid w:val="00E13D02"/>
    <w:rsid w:val="00E32571"/>
    <w:rsid w:val="00E34C36"/>
    <w:rsid w:val="00E43ADF"/>
    <w:rsid w:val="00E4436A"/>
    <w:rsid w:val="00E87F60"/>
    <w:rsid w:val="00E95407"/>
    <w:rsid w:val="00ED64DC"/>
    <w:rsid w:val="00EE3174"/>
    <w:rsid w:val="00F11667"/>
    <w:rsid w:val="00F30821"/>
    <w:rsid w:val="00F31201"/>
    <w:rsid w:val="00F46CC9"/>
    <w:rsid w:val="00F7121F"/>
    <w:rsid w:val="00F778A3"/>
    <w:rsid w:val="00FA3406"/>
    <w:rsid w:val="00FA4127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E021"/>
  <w15:chartTrackingRefBased/>
  <w15:docId w15:val="{3F9AF650-5568-4AFF-AC8E-BFC3876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6EFF"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2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6EF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rsid w:val="003C6E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6E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C6E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E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3C6EF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3C6E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C6EFF"/>
    <w:pPr>
      <w:jc w:val="center"/>
      <w:outlineLvl w:val="0"/>
    </w:pPr>
    <w:rPr>
      <w:rFonts w:ascii="Arial" w:hAnsi="Arial" w:cs="Arial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3C6EFF"/>
    <w:rPr>
      <w:rFonts w:ascii="Arial" w:eastAsia="Times New Roman" w:hAnsi="Arial" w:cs="Arial"/>
      <w:b/>
      <w:bCs/>
      <w:sz w:val="4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E1A5B"/>
    <w:pPr>
      <w:ind w:left="720"/>
      <w:contextualSpacing/>
    </w:pPr>
  </w:style>
  <w:style w:type="character" w:customStyle="1" w:styleId="separator">
    <w:name w:val="separator"/>
    <w:basedOn w:val="DefaultParagraphFont"/>
    <w:rsid w:val="00E4436A"/>
  </w:style>
  <w:style w:type="character" w:styleId="FollowedHyperlink">
    <w:name w:val="FollowedHyperlink"/>
    <w:basedOn w:val="DefaultParagraphFont"/>
    <w:uiPriority w:val="99"/>
    <w:semiHidden/>
    <w:unhideWhenUsed/>
    <w:rsid w:val="00B952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38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12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2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6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2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8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7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7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3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4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5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2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2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cj-cij.org/sites/default/files/case-related/121/121-20020214-JUD-01-00-EN.pdf" TargetMode="External"/><Relationship Id="rId18" Type="http://schemas.openxmlformats.org/officeDocument/2006/relationships/hyperlink" Target="https://www.icj-cij.org/sites/default/files/case-related/12/012-19510528-ADV-01-00-EN.pdf" TargetMode="External"/><Relationship Id="rId26" Type="http://schemas.openxmlformats.org/officeDocument/2006/relationships/hyperlink" Target="https://www.cambridge.org/core/journals/american-journal-of-international-law/article/abs/what-happens-now-the-united-nations-after-iraq/E33A27E40A73D204FF2E0458B2A45004" TargetMode="External"/><Relationship Id="rId39" Type="http://schemas.openxmlformats.org/officeDocument/2006/relationships/hyperlink" Target="https://www.icj-cij.org/sites/default/files/case-related/169/169-20190225-ADV-01-00-EN.pdf" TargetMode="External"/><Relationship Id="rId21" Type="http://schemas.openxmlformats.org/officeDocument/2006/relationships/hyperlink" Target="https://www.icj-cij.org/sites/default/files/case-related/70/070-19860627-JUD-01-00-EN.pdf" TargetMode="External"/><Relationship Id="rId34" Type="http://schemas.openxmlformats.org/officeDocument/2006/relationships/hyperlink" Target="https://legal.un.org/ilc/texts/instruments/english/commentaries/9_6_2001.pdf" TargetMode="External"/><Relationship Id="rId42" Type="http://schemas.openxmlformats.org/officeDocument/2006/relationships/hyperlink" Target="https://hudoc.echr.coe.int/eng" TargetMode="External"/><Relationship Id="rId47" Type="http://schemas.openxmlformats.org/officeDocument/2006/relationships/footer" Target="footer1.xml"/><Relationship Id="rId7" Type="http://schemas.openxmlformats.org/officeDocument/2006/relationships/hyperlink" Target="mailto:paul.bradfield@universityofgalway.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j-cij.org/statute" TargetMode="External"/><Relationship Id="rId29" Type="http://schemas.openxmlformats.org/officeDocument/2006/relationships/hyperlink" Target="https://cil.nus.edu.sg/blogs/use-of-force-territorial-integrity-and-world-order-continuing-the-debate/" TargetMode="External"/><Relationship Id="rId11" Type="http://schemas.openxmlformats.org/officeDocument/2006/relationships/hyperlink" Target="https://www.icj-cij.org/sites/default/files/case-related/4/004-19490411-ADV-01-00-EN.pdf" TargetMode="External"/><Relationship Id="rId24" Type="http://schemas.openxmlformats.org/officeDocument/2006/relationships/hyperlink" Target="https://academic.oup.com/ejil/article/32/4/1167/6448591" TargetMode="External"/><Relationship Id="rId32" Type="http://schemas.openxmlformats.org/officeDocument/2006/relationships/hyperlink" Target="https://www.icj-cij.org/sites/default/files/case-related/91/091-20070226-JUD-01-00-EN.pdf" TargetMode="External"/><Relationship Id="rId37" Type="http://schemas.openxmlformats.org/officeDocument/2006/relationships/hyperlink" Target="https://www.icj-cij.org/sites/default/files/case-related/182/182-20220316-ord-01-00-en.pdf" TargetMode="External"/><Relationship Id="rId40" Type="http://schemas.openxmlformats.org/officeDocument/2006/relationships/hyperlink" Target="https://hudoc.echr.coe.int/eng" TargetMode="External"/><Relationship Id="rId45" Type="http://schemas.openxmlformats.org/officeDocument/2006/relationships/hyperlink" Target="https://pcacases.com/web/sendAttach/188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c-cpi.int/sites/default/files/CourtRecords/CR2019_02856.PDF" TargetMode="External"/><Relationship Id="rId23" Type="http://schemas.openxmlformats.org/officeDocument/2006/relationships/hyperlink" Target="https://academic.oup.com/ejil/article/26/2/417/423002" TargetMode="External"/><Relationship Id="rId28" Type="http://schemas.openxmlformats.org/officeDocument/2006/relationships/hyperlink" Target="https://www.cambridge.org/core/journals/american-journal-of-international-law/article/russia-ukraine-and-the-future-world-order/A7F4BFEF6CE7296F4C1AA1A4C9C3C105" TargetMode="External"/><Relationship Id="rId36" Type="http://schemas.openxmlformats.org/officeDocument/2006/relationships/hyperlink" Target="https://www.icj-cij.org/sites/default/files/case-related/178/178-20200123-ORD-01-00-EN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valon.law.yale.edu/20th_century/intam03.asp" TargetMode="External"/><Relationship Id="rId19" Type="http://schemas.openxmlformats.org/officeDocument/2006/relationships/hyperlink" Target="https://www.icj-cij.org/sites/default/files/case-related/58/058-19741220-JUD-01-00-EN.pdf" TargetMode="External"/><Relationship Id="rId31" Type="http://schemas.openxmlformats.org/officeDocument/2006/relationships/hyperlink" Target="https://www.icj-cij.org/sites/default/files/case-related/116/116-20051219-JUD-01-00-EN.pdf" TargetMode="External"/><Relationship Id="rId44" Type="http://schemas.openxmlformats.org/officeDocument/2006/relationships/hyperlink" Target="https://www.ejiltalk.org/georgia-v-russia-no-2-the-european-courts-resurrection-of-bankovic-in-the-contexts-of-cha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il.ouplaw.com/display/10.1093/law:epil/9780199231690/law-9780199231690-e714" TargetMode="External"/><Relationship Id="rId14" Type="http://schemas.openxmlformats.org/officeDocument/2006/relationships/hyperlink" Target="https://www.icj-cij.org/sites/default/files/case-related/121/121-20020214-JUD-01-05-EN.pdf" TargetMode="External"/><Relationship Id="rId22" Type="http://schemas.openxmlformats.org/officeDocument/2006/relationships/hyperlink" Target="https://legal.un.org/ilc/texts/instruments/english/commentaries/1_13_2018.pdf" TargetMode="External"/><Relationship Id="rId27" Type="http://schemas.openxmlformats.org/officeDocument/2006/relationships/hyperlink" Target="https://www.tandfonline.com/doi/full/10.1080/20531702.2022.2056803" TargetMode="External"/><Relationship Id="rId30" Type="http://schemas.openxmlformats.org/officeDocument/2006/relationships/hyperlink" Target="https://cil.nus.edu.sg/blog/symposia/use-of-force-territorial-integrity-and-world-order-continuing-the-debate/" TargetMode="External"/><Relationship Id="rId35" Type="http://schemas.openxmlformats.org/officeDocument/2006/relationships/hyperlink" Target="https://www.icj-cij.org/sites/default/files/case-related/64/064-19800524-JUD-01-00-EN.pdf" TargetMode="External"/><Relationship Id="rId43" Type="http://schemas.openxmlformats.org/officeDocument/2006/relationships/hyperlink" Target="https://www.justsecurity.org/74465/georgia-v-russia-jurisdiction-chaos-and-conflict-at-the-european-court-of-human-rights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universityofgalway.instructure.com/courses/354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il.ouplaw.com/display/10.1093/law:epil/9780199231690/law-9780199231690-e1436?rskey=bm8lm4&amp;result=6&amp;prd=MPIL" TargetMode="External"/><Relationship Id="rId17" Type="http://schemas.openxmlformats.org/officeDocument/2006/relationships/hyperlink" Target="https://legal.un.org/ilc/texts/instruments/english/conventions/1_1_1969.pdf" TargetMode="External"/><Relationship Id="rId25" Type="http://schemas.openxmlformats.org/officeDocument/2006/relationships/hyperlink" Target="https://www.un.org/en/about-us/un-charter" TargetMode="External"/><Relationship Id="rId33" Type="http://schemas.openxmlformats.org/officeDocument/2006/relationships/hyperlink" Target="https://www.icj-cij.org/sites/default/files/case-related/131/131-20040709-ADV-01-00-EN.pdf" TargetMode="External"/><Relationship Id="rId38" Type="http://schemas.openxmlformats.org/officeDocument/2006/relationships/hyperlink" Target="https://www.icj-cij.org/sites/default/files/case-related/192/192-20240126-ord-01-00-en.pdf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egal.un.org/ilc/texts/instruments/english/commentaries/9_9_2006.pdf" TargetMode="External"/><Relationship Id="rId41" Type="http://schemas.openxmlformats.org/officeDocument/2006/relationships/hyperlink" Target="C://Users/pbradfield/Downloads/CASE%20OF%20CYPRUS%20v.%20TURKEY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Ciara</dc:creator>
  <cp:keywords/>
  <dc:description/>
  <cp:lastModifiedBy>Paul BRADFIELD</cp:lastModifiedBy>
  <cp:revision>50</cp:revision>
  <dcterms:created xsi:type="dcterms:W3CDTF">2024-08-09T08:55:00Z</dcterms:created>
  <dcterms:modified xsi:type="dcterms:W3CDTF">2024-08-09T10:21:00Z</dcterms:modified>
</cp:coreProperties>
</file>