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8713" w14:textId="2D2D1AA9" w:rsidR="00DE371D" w:rsidRDefault="00317500" w:rsidP="00D03CB1">
      <w:pPr>
        <w:ind w:right="236"/>
        <w:rPr>
          <w:rFonts w:ascii="Times New Roman"/>
        </w:rPr>
      </w:pPr>
      <w:r>
        <w:rPr>
          <w:rFonts w:ascii="Times New Roman"/>
          <w:b/>
          <w:color w:val="69075A"/>
          <w:sz w:val="20"/>
        </w:rPr>
        <w:tab/>
      </w:r>
      <w:r>
        <w:rPr>
          <w:rFonts w:ascii="Times New Roman"/>
          <w:noProof/>
          <w:lang w:val="en-IE" w:eastAsia="en-IE"/>
        </w:rPr>
        <mc:AlternateContent>
          <mc:Choice Requires="wps">
            <w:drawing>
              <wp:inline distT="0" distB="0" distL="0" distR="0" wp14:anchorId="07998732" wp14:editId="6B792E3D">
                <wp:extent cx="5877560" cy="584835"/>
                <wp:effectExtent l="0" t="0" r="27940" b="24765"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5848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FC13" w14:textId="77777777" w:rsidR="000F1920" w:rsidRDefault="00317500" w:rsidP="000F1920">
                            <w:pPr>
                              <w:spacing w:before="20" w:line="259" w:lineRule="auto"/>
                              <w:ind w:left="109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Guidance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Legal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Basis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Processing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824025">
                              <w:rPr>
                                <w:b/>
                                <w:color w:val="000000"/>
                              </w:rPr>
                              <w:t xml:space="preserve">University of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Galway </w:t>
                            </w:r>
                          </w:p>
                          <w:p w14:paraId="07998736" w14:textId="185819C3" w:rsidR="00DE371D" w:rsidRPr="000F1920" w:rsidRDefault="00A349DD" w:rsidP="000F1920">
                            <w:pPr>
                              <w:spacing w:before="20" w:line="259" w:lineRule="auto"/>
                              <w:ind w:left="109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0F1920">
                              <w:rPr>
                                <w:bCs/>
                                <w:color w:val="000000"/>
                              </w:rPr>
                              <w:t>November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99873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62.8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" fillcolor="#bebebe" strokeweight=".16936mm">
                <v:textbox inset="0,0,0,0">
                  <w:txbxContent>
                    <w:p w14:paraId="06E0FC13" w14:textId="77777777" w:rsidR="000F1920" w:rsidRDefault="00317500" w:rsidP="000F1920">
                      <w:pPr>
                        <w:spacing w:before="20" w:line="259" w:lineRule="auto"/>
                        <w:ind w:left="109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Guidance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Legal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Basis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Data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Processing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Health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Research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824025">
                        <w:rPr>
                          <w:b/>
                          <w:color w:val="000000"/>
                        </w:rPr>
                        <w:t xml:space="preserve">University of </w:t>
                      </w:r>
                      <w:r>
                        <w:rPr>
                          <w:b/>
                          <w:color w:val="000000"/>
                        </w:rPr>
                        <w:t xml:space="preserve">Galway </w:t>
                      </w:r>
                    </w:p>
                    <w:p w14:paraId="07998736" w14:textId="185819C3" w:rsidR="00DE371D" w:rsidRPr="000F1920" w:rsidRDefault="00A349DD" w:rsidP="000F1920">
                      <w:pPr>
                        <w:spacing w:before="20" w:line="259" w:lineRule="auto"/>
                        <w:ind w:left="109"/>
                        <w:jc w:val="center"/>
                        <w:rPr>
                          <w:bCs/>
                          <w:color w:val="000000"/>
                        </w:rPr>
                      </w:pPr>
                      <w:r w:rsidRPr="000F1920">
                        <w:rPr>
                          <w:bCs/>
                          <w:color w:val="000000"/>
                        </w:rPr>
                        <w:t>November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98714" w14:textId="77777777" w:rsidR="00DE371D" w:rsidRDefault="00DE371D">
      <w:pPr>
        <w:pStyle w:val="BodyText"/>
        <w:spacing w:before="6"/>
        <w:rPr>
          <w:rFonts w:ascii="Times New Roman"/>
          <w:b/>
          <w:sz w:val="22"/>
        </w:rPr>
      </w:pPr>
    </w:p>
    <w:p w14:paraId="07998715" w14:textId="77777777" w:rsidR="00DE371D" w:rsidRDefault="00317500" w:rsidP="00CF1762">
      <w:pPr>
        <w:pStyle w:val="BodyText"/>
        <w:jc w:val="both"/>
      </w:pPr>
      <w:r>
        <w:t>Data</w:t>
      </w:r>
      <w:r>
        <w:rPr>
          <w:spacing w:val="-6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GDPR.</w:t>
      </w:r>
    </w:p>
    <w:p w14:paraId="07998716" w14:textId="77777777" w:rsidR="00DE371D" w:rsidRDefault="00DE371D" w:rsidP="00CF1762">
      <w:pPr>
        <w:pStyle w:val="BodyText"/>
        <w:rPr>
          <w:sz w:val="19"/>
        </w:rPr>
      </w:pPr>
    </w:p>
    <w:p w14:paraId="07998717" w14:textId="1841B852" w:rsidR="00DE371D" w:rsidRDefault="00317500" w:rsidP="00CF1762">
      <w:pPr>
        <w:pStyle w:val="BodyText"/>
        <w:jc w:val="both"/>
      </w:pPr>
      <w:r>
        <w:t>Where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Processing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contains</w:t>
      </w:r>
      <w:r>
        <w:rPr>
          <w:spacing w:val="-12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category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(data</w:t>
      </w:r>
      <w:r>
        <w:rPr>
          <w:spacing w:val="-14"/>
        </w:rPr>
        <w:t xml:space="preserve"> </w:t>
      </w:r>
      <w:r>
        <w:t>concerning health)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Research,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GDPR</w:t>
      </w:r>
      <w:r w:rsidR="00104A2E" w:rsidRPr="00104A2E">
        <w:t xml:space="preserve"> </w:t>
      </w:r>
      <w:r w:rsidR="00104A2E">
        <w:t>and additionally a condition under Article</w:t>
      </w:r>
      <w:r w:rsidR="00104A2E">
        <w:rPr>
          <w:spacing w:val="-2"/>
        </w:rPr>
        <w:t xml:space="preserve"> </w:t>
      </w:r>
      <w:r w:rsidR="00104A2E">
        <w:t>9 of the GDPR</w:t>
      </w:r>
      <w:r>
        <w:rPr>
          <w:spacing w:val="-2"/>
        </w:rPr>
        <w:t>.</w:t>
      </w:r>
    </w:p>
    <w:p w14:paraId="07998718" w14:textId="77777777" w:rsidR="00DE371D" w:rsidRDefault="00DE371D" w:rsidP="00CF1762">
      <w:pPr>
        <w:pStyle w:val="BodyText"/>
        <w:rPr>
          <w:sz w:val="11"/>
        </w:rPr>
      </w:pPr>
    </w:p>
    <w:p w14:paraId="07998719" w14:textId="39A3359E" w:rsidR="00DE371D" w:rsidRDefault="00317500" w:rsidP="003D0D2B">
      <w:pPr>
        <w:pStyle w:val="BodyText"/>
        <w:jc w:val="both"/>
      </w:pPr>
      <w:r>
        <w:t>The Legal Basis for Data Processing of special category data is distinct from the Consent required for Ethical reasons or for Clinical Trial Regulation compliance.</w:t>
      </w:r>
    </w:p>
    <w:p w14:paraId="0799871A" w14:textId="77777777" w:rsidR="00DE371D" w:rsidRDefault="00DE371D" w:rsidP="00CF1762">
      <w:pPr>
        <w:pStyle w:val="BodyText"/>
        <w:rPr>
          <w:sz w:val="11"/>
        </w:rPr>
      </w:pPr>
    </w:p>
    <w:p w14:paraId="0799871B" w14:textId="19D1C4F7" w:rsidR="00DE371D" w:rsidRDefault="00317500" w:rsidP="00CF1762">
      <w:pPr>
        <w:pStyle w:val="BodyText"/>
      </w:pPr>
      <w:r>
        <w:t xml:space="preserve">The Data Protection office recognise the following Legal Basis as the most common one seen </w:t>
      </w:r>
      <w:r w:rsidR="00824025">
        <w:t xml:space="preserve">in University of </w:t>
      </w:r>
      <w:r>
        <w:t>Galway in health research:</w:t>
      </w:r>
    </w:p>
    <w:p w14:paraId="07998720" w14:textId="19AB973C" w:rsidR="00DE371D" w:rsidRDefault="00317500" w:rsidP="008010DB">
      <w:pPr>
        <w:pStyle w:val="BodyText"/>
        <w:spacing w:before="3"/>
        <w:rPr>
          <w:sz w:val="11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998735" wp14:editId="1777B1E8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6000750" cy="2560955"/>
                <wp:effectExtent l="0" t="0" r="19050" b="10795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5609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8737" w14:textId="77777777" w:rsidR="00DE371D" w:rsidRDefault="00DE371D">
                            <w:pPr>
                              <w:pStyle w:val="BodyTex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07998738" w14:textId="436F36EC" w:rsidR="00DE371D" w:rsidRPr="00D03CB1" w:rsidRDefault="005B755D" w:rsidP="003D0D2B">
                            <w:pPr>
                              <w:pStyle w:val="BodyText"/>
                              <w:spacing w:before="128" w:line="276" w:lineRule="auto"/>
                              <w:jc w:val="both"/>
                            </w:pPr>
                            <w:r>
                              <w:rPr>
                                <w:b/>
                                <w:shd w:val="clear" w:color="auto" w:fill="D2D2D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  <w:shd w:val="clear" w:color="auto" w:fill="D2D2D2"/>
                              </w:rPr>
                              <w:t>Article</w:t>
                            </w:r>
                            <w:r w:rsidR="00317500" w:rsidRPr="00D03CB1">
                              <w:rPr>
                                <w:b/>
                                <w:spacing w:val="-3"/>
                                <w:shd w:val="clear" w:color="auto" w:fill="D2D2D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  <w:shd w:val="clear" w:color="auto" w:fill="D2D2D2"/>
                              </w:rPr>
                              <w:t>6(1)(e)</w:t>
                            </w:r>
                            <w:r w:rsidR="00317500" w:rsidRPr="00D03CB1">
                              <w:rPr>
                                <w:b/>
                                <w:spacing w:val="-3"/>
                                <w:shd w:val="clear" w:color="auto" w:fill="D2D2D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  <w:shd w:val="clear" w:color="auto" w:fill="D2D2D2"/>
                              </w:rPr>
                              <w:t>of</w:t>
                            </w:r>
                            <w:r w:rsidR="00317500" w:rsidRPr="00D03CB1">
                              <w:rPr>
                                <w:b/>
                                <w:spacing w:val="-3"/>
                                <w:shd w:val="clear" w:color="auto" w:fill="D2D2D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  <w:shd w:val="clear" w:color="auto" w:fill="D2D2D2"/>
                              </w:rPr>
                              <w:t>the</w:t>
                            </w:r>
                            <w:r w:rsidR="00317500" w:rsidRPr="00D03CB1">
                              <w:rPr>
                                <w:b/>
                                <w:spacing w:val="-3"/>
                                <w:shd w:val="clear" w:color="auto" w:fill="D2D2D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  <w:shd w:val="clear" w:color="auto" w:fill="D2D2D2"/>
                              </w:rPr>
                              <w:t>GDPR</w:t>
                            </w:r>
                            <w:r w:rsidR="00317500" w:rsidRPr="00D03CB1">
                              <w:rPr>
                                <w:b/>
                                <w:spacing w:val="-3"/>
                                <w:shd w:val="clear" w:color="auto" w:fill="D2D2D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shd w:val="clear" w:color="auto" w:fill="D2D2D2"/>
                              </w:rPr>
                              <w:t>processing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is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necessary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for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the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performance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of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a</w:t>
                            </w:r>
                            <w:r w:rsidR="00317500" w:rsidRPr="00D03CB1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17500" w:rsidRPr="00D03CB1">
                              <w:t>task</w:t>
                            </w:r>
                            <w:r w:rsidR="00317500" w:rsidRPr="00D03CB1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17500" w:rsidRPr="00D03CB1">
                              <w:t xml:space="preserve">carried out in the public interest or in the exercise of official authority vested in the </w:t>
                            </w:r>
                            <w:proofErr w:type="gramStart"/>
                            <w:r w:rsidR="00317500" w:rsidRPr="00D03CB1">
                              <w:t>controller;</w:t>
                            </w:r>
                            <w:proofErr w:type="gramEnd"/>
                          </w:p>
                          <w:p w14:paraId="07998739" w14:textId="1C9AC6E4" w:rsidR="00DE371D" w:rsidRPr="00D03CB1" w:rsidRDefault="005B755D" w:rsidP="005B755D">
                            <w:pPr>
                              <w:pStyle w:val="BodyText"/>
                              <w:spacing w:before="121"/>
                              <w:ind w:right="138"/>
                              <w:jc w:val="both"/>
                            </w:pPr>
                            <w:r>
                              <w:t xml:space="preserve"> </w:t>
                            </w:r>
                            <w:r w:rsidR="00317500" w:rsidRPr="00D03CB1">
                              <w:t xml:space="preserve">Under the </w:t>
                            </w:r>
                            <w:r w:rsidR="00317500" w:rsidRPr="00D03CB1">
                              <w:rPr>
                                <w:b/>
                              </w:rPr>
                              <w:t xml:space="preserve">Universities Act 1997 </w:t>
                            </w:r>
                            <w:r w:rsidR="00824025" w:rsidRPr="00D03CB1">
                              <w:t xml:space="preserve">University of </w:t>
                            </w:r>
                            <w:r w:rsidR="00317500" w:rsidRPr="00D03CB1">
                              <w:t>Galway has been</w:t>
                            </w:r>
                            <w:r w:rsidR="00317500" w:rsidRPr="00D03CB1">
                              <w:rPr>
                                <w:spacing w:val="40"/>
                              </w:rPr>
                              <w:t xml:space="preserve"> </w:t>
                            </w:r>
                            <w:r w:rsidR="00317500" w:rsidRPr="00D03CB1">
                              <w:t xml:space="preserve">given a range of objectives, functions, and mechanisms to achieve these goals. </w:t>
                            </w:r>
                            <w:proofErr w:type="gramStart"/>
                            <w:r w:rsidR="00317500" w:rsidRPr="00D03CB1">
                              <w:t>In particular,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we</w:t>
                            </w:r>
                            <w:proofErr w:type="gramEnd"/>
                            <w:r w:rsidR="00317500" w:rsidRPr="00D03CB1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17500" w:rsidRPr="00D03CB1">
                              <w:t>would</w:t>
                            </w:r>
                            <w:r w:rsidR="00317500" w:rsidRPr="00D03CB1">
                              <w:rPr>
                                <w:spacing w:val="-2"/>
                              </w:rPr>
                              <w:t xml:space="preserve"> </w:t>
                            </w:r>
                            <w:r w:rsidR="00317500" w:rsidRPr="00D03CB1">
                              <w:t>draw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your</w:t>
                            </w:r>
                            <w:r w:rsidR="00317500" w:rsidRPr="00D03CB1">
                              <w:rPr>
                                <w:spacing w:val="-2"/>
                              </w:rPr>
                              <w:t xml:space="preserve"> </w:t>
                            </w:r>
                            <w:r w:rsidR="00317500" w:rsidRPr="00D03CB1">
                              <w:t>attention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to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</w:rPr>
                              <w:t>Section</w:t>
                            </w:r>
                            <w:r w:rsidR="00317500" w:rsidRPr="00D03CB1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</w:rPr>
                              <w:t>12</w:t>
                            </w:r>
                            <w:r w:rsidR="00317500" w:rsidRPr="00D03CB1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317500" w:rsidRPr="00D03CB1">
                              <w:t>(objects)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and</w:t>
                            </w:r>
                            <w:r w:rsidR="00317500" w:rsidRPr="00D03CB1">
                              <w:rPr>
                                <w:spacing w:val="-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</w:rPr>
                              <w:t>Section</w:t>
                            </w:r>
                            <w:r w:rsidR="00317500" w:rsidRPr="00D03CB1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</w:rPr>
                              <w:t>13</w:t>
                            </w:r>
                            <w:r w:rsidR="00317500" w:rsidRPr="00D03CB1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317500" w:rsidRPr="00D03CB1">
                              <w:t>(functions) which provide for a range of activities to be conducted by the University including research and scientific investigation.</w:t>
                            </w:r>
                          </w:p>
                          <w:p w14:paraId="0799873A" w14:textId="77777777" w:rsidR="00DE371D" w:rsidRPr="00D03CB1" w:rsidRDefault="00DE371D" w:rsidP="003D0D2B">
                            <w:pPr>
                              <w:pStyle w:val="BodyText"/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14:paraId="0799873B" w14:textId="78CCD36B" w:rsidR="00DE371D" w:rsidRDefault="005B755D" w:rsidP="005B755D">
                            <w:pPr>
                              <w:pStyle w:val="BodyText"/>
                              <w:spacing w:before="133"/>
                              <w:ind w:right="235"/>
                              <w:jc w:val="both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hd w:val="clear" w:color="auto" w:fill="D2D2D2"/>
                              </w:rPr>
                              <w:t xml:space="preserve"> </w:t>
                            </w:r>
                            <w:r w:rsidR="00317500" w:rsidRPr="00D03CB1">
                              <w:rPr>
                                <w:b/>
                                <w:shd w:val="clear" w:color="auto" w:fill="D2D2D2"/>
                              </w:rPr>
                              <w:t xml:space="preserve">Article 9(2)(j) of the GDPR </w:t>
                            </w:r>
                            <w:r w:rsidR="00317500" w:rsidRPr="00D03CB1">
                              <w:rPr>
                                <w:shd w:val="clear" w:color="auto" w:fill="D2D2D2"/>
                              </w:rPr>
                              <w:t>processing</w:t>
                            </w:r>
                            <w:r w:rsidR="00317500" w:rsidRPr="00D03CB1">
                              <w:t xml:space="preserve"> is necessary for archiving purposes in the public interest, scientific or historical research purposes or statistical purposes in accordance with</w:t>
                            </w:r>
                            <w:r w:rsidR="00317500" w:rsidRPr="00D03CB1"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10">
                              <w:r w:rsidR="00317500" w:rsidRPr="00D03CB1">
                                <w:rPr>
                                  <w:u w:val="single" w:color="404040"/>
                                </w:rPr>
                                <w:t>Article</w:t>
                              </w:r>
                              <w:r w:rsidR="00317500" w:rsidRPr="00D03CB1">
                                <w:rPr>
                                  <w:spacing w:val="-4"/>
                                  <w:u w:val="single" w:color="404040"/>
                                </w:rPr>
                                <w:t xml:space="preserve"> </w:t>
                              </w:r>
                              <w:r w:rsidR="00317500" w:rsidRPr="00D03CB1">
                                <w:rPr>
                                  <w:u w:val="single" w:color="404040"/>
                                </w:rPr>
                                <w:t>89</w:t>
                              </w:r>
                            </w:hyperlink>
                            <w:r w:rsidR="00317500" w:rsidRPr="00D03CB1">
                              <w:t>(1)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based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on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Union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or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Member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State</w:t>
                            </w:r>
                            <w:r w:rsidR="00317500" w:rsidRPr="00D03CB1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17500" w:rsidRPr="00D03CB1">
                              <w:t>law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which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shall</w:t>
                            </w:r>
                            <w:r w:rsidR="00317500" w:rsidRPr="00D03CB1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17500" w:rsidRPr="00D03CB1">
                              <w:t>be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proportionate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>to</w:t>
                            </w:r>
                            <w:r w:rsidR="00317500" w:rsidRPr="00D03CB1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17500" w:rsidRPr="00D03CB1">
                              <w:t xml:space="preserve">the aim pursued, respect the essence of the right to data protection and provide for suitable and specific measures to safeguard the fundamental rights and the interests of the data </w:t>
                            </w:r>
                            <w:r w:rsidR="00317500" w:rsidRPr="00D03CB1">
                              <w:rPr>
                                <w:spacing w:val="-2"/>
                              </w:rPr>
                              <w:t>subject.</w:t>
                            </w:r>
                          </w:p>
                          <w:p w14:paraId="76CFDD6C" w14:textId="77777777" w:rsidR="006A2DF8" w:rsidRPr="00D03CB1" w:rsidRDefault="006A2DF8">
                            <w:pPr>
                              <w:pStyle w:val="BodyText"/>
                              <w:spacing w:before="133"/>
                              <w:ind w:left="823" w:right="23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8735" id="docshape6" o:spid="_x0000_s1027" type="#_x0000_t202" style="position:absolute;margin-left:421.3pt;margin-top:14.1pt;width:472.5pt;height:201.6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" fillcolor="#d9d9d9" strokeweight=".16936mm">
                <v:textbox inset="0,0,0,0">
                  <w:txbxContent>
                    <w:p w14:paraId="07998737" w14:textId="77777777" w:rsidR="00DE371D" w:rsidRDefault="00DE371D">
                      <w:pPr>
                        <w:pStyle w:val="BodyText"/>
                        <w:rPr>
                          <w:color w:val="000000"/>
                          <w:sz w:val="22"/>
                        </w:rPr>
                      </w:pPr>
                    </w:p>
                    <w:p w14:paraId="07998738" w14:textId="436F36EC" w:rsidR="00DE371D" w:rsidRPr="00D03CB1" w:rsidRDefault="005B755D" w:rsidP="003D0D2B">
                      <w:pPr>
                        <w:pStyle w:val="BodyText"/>
                        <w:spacing w:before="128" w:line="276" w:lineRule="auto"/>
                        <w:jc w:val="both"/>
                      </w:pPr>
                      <w:r>
                        <w:rPr>
                          <w:b/>
                          <w:shd w:val="clear" w:color="auto" w:fill="D2D2D2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  <w:shd w:val="clear" w:color="auto" w:fill="D2D2D2"/>
                        </w:rPr>
                        <w:t>Article</w:t>
                      </w:r>
                      <w:r w:rsidR="00317500" w:rsidRPr="00D03CB1">
                        <w:rPr>
                          <w:b/>
                          <w:spacing w:val="-3"/>
                          <w:shd w:val="clear" w:color="auto" w:fill="D2D2D2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  <w:shd w:val="clear" w:color="auto" w:fill="D2D2D2"/>
                        </w:rPr>
                        <w:t>6(1)(e)</w:t>
                      </w:r>
                      <w:r w:rsidR="00317500" w:rsidRPr="00D03CB1">
                        <w:rPr>
                          <w:b/>
                          <w:spacing w:val="-3"/>
                          <w:shd w:val="clear" w:color="auto" w:fill="D2D2D2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  <w:shd w:val="clear" w:color="auto" w:fill="D2D2D2"/>
                        </w:rPr>
                        <w:t>of</w:t>
                      </w:r>
                      <w:r w:rsidR="00317500" w:rsidRPr="00D03CB1">
                        <w:rPr>
                          <w:b/>
                          <w:spacing w:val="-3"/>
                          <w:shd w:val="clear" w:color="auto" w:fill="D2D2D2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  <w:shd w:val="clear" w:color="auto" w:fill="D2D2D2"/>
                        </w:rPr>
                        <w:t>the</w:t>
                      </w:r>
                      <w:r w:rsidR="00317500" w:rsidRPr="00D03CB1">
                        <w:rPr>
                          <w:b/>
                          <w:spacing w:val="-3"/>
                          <w:shd w:val="clear" w:color="auto" w:fill="D2D2D2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  <w:shd w:val="clear" w:color="auto" w:fill="D2D2D2"/>
                        </w:rPr>
                        <w:t>GDPR</w:t>
                      </w:r>
                      <w:r w:rsidR="00317500" w:rsidRPr="00D03CB1">
                        <w:rPr>
                          <w:b/>
                          <w:spacing w:val="-3"/>
                          <w:shd w:val="clear" w:color="auto" w:fill="D2D2D2"/>
                        </w:rPr>
                        <w:t xml:space="preserve"> </w:t>
                      </w:r>
                      <w:r w:rsidR="00317500" w:rsidRPr="00D03CB1">
                        <w:rPr>
                          <w:shd w:val="clear" w:color="auto" w:fill="D2D2D2"/>
                        </w:rPr>
                        <w:t>processing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is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necessary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for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the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performance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of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a</w:t>
                      </w:r>
                      <w:r w:rsidR="00317500" w:rsidRPr="00D03CB1">
                        <w:rPr>
                          <w:spacing w:val="-4"/>
                        </w:rPr>
                        <w:t xml:space="preserve"> </w:t>
                      </w:r>
                      <w:r w:rsidR="00317500" w:rsidRPr="00D03CB1">
                        <w:t>task</w:t>
                      </w:r>
                      <w:r w:rsidR="00317500" w:rsidRPr="00D03CB1">
                        <w:rPr>
                          <w:spacing w:val="-4"/>
                        </w:rPr>
                        <w:t xml:space="preserve"> </w:t>
                      </w:r>
                      <w:r w:rsidR="00317500" w:rsidRPr="00D03CB1">
                        <w:t xml:space="preserve">carried out in the public interest or in the exercise of official authority vested in the </w:t>
                      </w:r>
                      <w:proofErr w:type="gramStart"/>
                      <w:r w:rsidR="00317500" w:rsidRPr="00D03CB1">
                        <w:t>controller;</w:t>
                      </w:r>
                      <w:proofErr w:type="gramEnd"/>
                    </w:p>
                    <w:p w14:paraId="07998739" w14:textId="1C9AC6E4" w:rsidR="00DE371D" w:rsidRPr="00D03CB1" w:rsidRDefault="005B755D" w:rsidP="005B755D">
                      <w:pPr>
                        <w:pStyle w:val="BodyText"/>
                        <w:spacing w:before="121"/>
                        <w:ind w:right="138"/>
                        <w:jc w:val="both"/>
                      </w:pPr>
                      <w:r>
                        <w:t xml:space="preserve"> </w:t>
                      </w:r>
                      <w:r w:rsidR="00317500" w:rsidRPr="00D03CB1">
                        <w:t xml:space="preserve">Under the </w:t>
                      </w:r>
                      <w:r w:rsidR="00317500" w:rsidRPr="00D03CB1">
                        <w:rPr>
                          <w:b/>
                        </w:rPr>
                        <w:t xml:space="preserve">Universities Act 1997 </w:t>
                      </w:r>
                      <w:r w:rsidR="00824025" w:rsidRPr="00D03CB1">
                        <w:t xml:space="preserve">University of </w:t>
                      </w:r>
                      <w:r w:rsidR="00317500" w:rsidRPr="00D03CB1">
                        <w:t>Galway has been</w:t>
                      </w:r>
                      <w:r w:rsidR="00317500" w:rsidRPr="00D03CB1">
                        <w:rPr>
                          <w:spacing w:val="40"/>
                        </w:rPr>
                        <w:t xml:space="preserve"> </w:t>
                      </w:r>
                      <w:r w:rsidR="00317500" w:rsidRPr="00D03CB1">
                        <w:t xml:space="preserve">given a range of objectives, functions, and mechanisms to achieve these goals. </w:t>
                      </w:r>
                      <w:proofErr w:type="gramStart"/>
                      <w:r w:rsidR="00317500" w:rsidRPr="00D03CB1">
                        <w:t>In particular,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we</w:t>
                      </w:r>
                      <w:proofErr w:type="gramEnd"/>
                      <w:r w:rsidR="00317500" w:rsidRPr="00D03CB1">
                        <w:rPr>
                          <w:spacing w:val="-4"/>
                        </w:rPr>
                        <w:t xml:space="preserve"> </w:t>
                      </w:r>
                      <w:r w:rsidR="00317500" w:rsidRPr="00D03CB1">
                        <w:t>would</w:t>
                      </w:r>
                      <w:r w:rsidR="00317500" w:rsidRPr="00D03CB1">
                        <w:rPr>
                          <w:spacing w:val="-2"/>
                        </w:rPr>
                        <w:t xml:space="preserve"> </w:t>
                      </w:r>
                      <w:r w:rsidR="00317500" w:rsidRPr="00D03CB1">
                        <w:t>draw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your</w:t>
                      </w:r>
                      <w:r w:rsidR="00317500" w:rsidRPr="00D03CB1">
                        <w:rPr>
                          <w:spacing w:val="-2"/>
                        </w:rPr>
                        <w:t xml:space="preserve"> </w:t>
                      </w:r>
                      <w:r w:rsidR="00317500" w:rsidRPr="00D03CB1">
                        <w:t>attention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to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</w:rPr>
                        <w:t>Section</w:t>
                      </w:r>
                      <w:r w:rsidR="00317500" w:rsidRPr="00D03CB1">
                        <w:rPr>
                          <w:b/>
                          <w:spacing w:val="-3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</w:rPr>
                        <w:t>12</w:t>
                      </w:r>
                      <w:r w:rsidR="00317500" w:rsidRPr="00D03CB1">
                        <w:rPr>
                          <w:b/>
                          <w:spacing w:val="-4"/>
                        </w:rPr>
                        <w:t xml:space="preserve"> </w:t>
                      </w:r>
                      <w:r w:rsidR="00317500" w:rsidRPr="00D03CB1">
                        <w:t>(objects)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and</w:t>
                      </w:r>
                      <w:r w:rsidR="00317500" w:rsidRPr="00D03CB1">
                        <w:rPr>
                          <w:spacing w:val="-2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</w:rPr>
                        <w:t>Section</w:t>
                      </w:r>
                      <w:r w:rsidR="00317500" w:rsidRPr="00D03CB1">
                        <w:rPr>
                          <w:b/>
                          <w:spacing w:val="-3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</w:rPr>
                        <w:t>13</w:t>
                      </w:r>
                      <w:r w:rsidR="00317500" w:rsidRPr="00D03CB1">
                        <w:rPr>
                          <w:b/>
                          <w:spacing w:val="-4"/>
                        </w:rPr>
                        <w:t xml:space="preserve"> </w:t>
                      </w:r>
                      <w:r w:rsidR="00317500" w:rsidRPr="00D03CB1">
                        <w:t>(functions) which provide for a range of activities to be conducted by the University including research and scientific investigation.</w:t>
                      </w:r>
                    </w:p>
                    <w:p w14:paraId="0799873A" w14:textId="77777777" w:rsidR="00DE371D" w:rsidRPr="00D03CB1" w:rsidRDefault="00DE371D" w:rsidP="003D0D2B">
                      <w:pPr>
                        <w:pStyle w:val="BodyText"/>
                        <w:jc w:val="both"/>
                        <w:rPr>
                          <w:sz w:val="22"/>
                        </w:rPr>
                      </w:pPr>
                    </w:p>
                    <w:p w14:paraId="0799873B" w14:textId="78CCD36B" w:rsidR="00DE371D" w:rsidRDefault="005B755D" w:rsidP="005B755D">
                      <w:pPr>
                        <w:pStyle w:val="BodyText"/>
                        <w:spacing w:before="133"/>
                        <w:ind w:right="235"/>
                        <w:jc w:val="both"/>
                        <w:rPr>
                          <w:spacing w:val="-2"/>
                        </w:rPr>
                      </w:pPr>
                      <w:r>
                        <w:rPr>
                          <w:b/>
                          <w:shd w:val="clear" w:color="auto" w:fill="D2D2D2"/>
                        </w:rPr>
                        <w:t xml:space="preserve"> </w:t>
                      </w:r>
                      <w:r w:rsidR="00317500" w:rsidRPr="00D03CB1">
                        <w:rPr>
                          <w:b/>
                          <w:shd w:val="clear" w:color="auto" w:fill="D2D2D2"/>
                        </w:rPr>
                        <w:t xml:space="preserve">Article 9(2)(j) of the GDPR </w:t>
                      </w:r>
                      <w:r w:rsidR="00317500" w:rsidRPr="00D03CB1">
                        <w:rPr>
                          <w:shd w:val="clear" w:color="auto" w:fill="D2D2D2"/>
                        </w:rPr>
                        <w:t>processing</w:t>
                      </w:r>
                      <w:r w:rsidR="00317500" w:rsidRPr="00D03CB1">
                        <w:t xml:space="preserve"> is necessary for archiving purposes in the public interest, scientific or historical research purposes or statistical purposes in accordance with</w:t>
                      </w:r>
                      <w:r w:rsidR="00317500" w:rsidRPr="00D03CB1">
                        <w:rPr>
                          <w:spacing w:val="-4"/>
                        </w:rPr>
                        <w:t xml:space="preserve"> </w:t>
                      </w:r>
                      <w:hyperlink r:id="rId11">
                        <w:r w:rsidR="00317500" w:rsidRPr="00D03CB1">
                          <w:rPr>
                            <w:u w:val="single" w:color="404040"/>
                          </w:rPr>
                          <w:t>Article</w:t>
                        </w:r>
                        <w:r w:rsidR="00317500" w:rsidRPr="00D03CB1">
                          <w:rPr>
                            <w:spacing w:val="-4"/>
                            <w:u w:val="single" w:color="404040"/>
                          </w:rPr>
                          <w:t xml:space="preserve"> </w:t>
                        </w:r>
                        <w:r w:rsidR="00317500" w:rsidRPr="00D03CB1">
                          <w:rPr>
                            <w:u w:val="single" w:color="404040"/>
                          </w:rPr>
                          <w:t>89</w:t>
                        </w:r>
                      </w:hyperlink>
                      <w:r w:rsidR="00317500" w:rsidRPr="00D03CB1">
                        <w:t>(1)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based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on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Union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or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Member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State</w:t>
                      </w:r>
                      <w:r w:rsidR="00317500" w:rsidRPr="00D03CB1">
                        <w:rPr>
                          <w:spacing w:val="-4"/>
                        </w:rPr>
                        <w:t xml:space="preserve"> </w:t>
                      </w:r>
                      <w:r w:rsidR="00317500" w:rsidRPr="00D03CB1">
                        <w:t>law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which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shall</w:t>
                      </w:r>
                      <w:r w:rsidR="00317500" w:rsidRPr="00D03CB1">
                        <w:rPr>
                          <w:spacing w:val="-4"/>
                        </w:rPr>
                        <w:t xml:space="preserve"> </w:t>
                      </w:r>
                      <w:r w:rsidR="00317500" w:rsidRPr="00D03CB1">
                        <w:t>be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proportionate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>to</w:t>
                      </w:r>
                      <w:r w:rsidR="00317500" w:rsidRPr="00D03CB1">
                        <w:rPr>
                          <w:spacing w:val="-3"/>
                        </w:rPr>
                        <w:t xml:space="preserve"> </w:t>
                      </w:r>
                      <w:r w:rsidR="00317500" w:rsidRPr="00D03CB1">
                        <w:t xml:space="preserve">the aim pursued, respect the essence of the right to data protection and provide for suitable and specific measures to safeguard the fundamental rights and the interests of the data </w:t>
                      </w:r>
                      <w:r w:rsidR="00317500" w:rsidRPr="00D03CB1">
                        <w:rPr>
                          <w:spacing w:val="-2"/>
                        </w:rPr>
                        <w:t>subject.</w:t>
                      </w:r>
                    </w:p>
                    <w:p w14:paraId="76CFDD6C" w14:textId="77777777" w:rsidR="006A2DF8" w:rsidRPr="00D03CB1" w:rsidRDefault="006A2DF8">
                      <w:pPr>
                        <w:pStyle w:val="BodyText"/>
                        <w:spacing w:before="133"/>
                        <w:ind w:left="823" w:right="235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C18D51" w14:textId="77777777" w:rsidR="00C81C94" w:rsidRDefault="00C81C94" w:rsidP="00CF1762">
      <w:pPr>
        <w:pStyle w:val="BodyText"/>
      </w:pPr>
    </w:p>
    <w:p w14:paraId="5EB9936B" w14:textId="2CB6CCF5" w:rsidR="00CF1762" w:rsidRDefault="00CF1762" w:rsidP="008D693F">
      <w:pPr>
        <w:pStyle w:val="BodyText"/>
        <w:jc w:val="both"/>
      </w:pPr>
      <w:r w:rsidRPr="00D27065">
        <w:t>A key factor for deciding the appropriate legal basis &amp; condition for processing Special Category Personal data is who the data controller is for the processing of data for health research. You should consult the HRDPN</w:t>
      </w:r>
      <w:r>
        <w:t xml:space="preserve"> </w:t>
      </w:r>
      <w:r w:rsidRPr="00A94970">
        <w:t>P</w:t>
      </w:r>
      <w:r>
        <w:t>ractical Guide on Data Protection for Health Researcher</w:t>
      </w:r>
      <w:r w:rsidRPr="00A94970">
        <w:t xml:space="preserve"> </w:t>
      </w:r>
      <w:r>
        <w:t xml:space="preserve">available at: </w:t>
      </w:r>
      <w:hyperlink r:id="rId12" w:history="1">
        <w:r w:rsidR="00B1512D" w:rsidRPr="00B1512D">
          <w:rPr>
            <w:rStyle w:val="Hyperlink"/>
          </w:rPr>
          <w:t>https://www.universityofgalway.ie/data-protection/research/healthresearch/</w:t>
        </w:r>
        <w:r w:rsidRPr="00B1512D">
          <w:rPr>
            <w:rStyle w:val="Hyperlink"/>
          </w:rPr>
          <w:t>.</w:t>
        </w:r>
      </w:hyperlink>
    </w:p>
    <w:p w14:paraId="2828DA1B" w14:textId="77777777" w:rsidR="00CF1762" w:rsidRDefault="00CF1762" w:rsidP="00CF1762">
      <w:pPr>
        <w:pStyle w:val="BodyText"/>
      </w:pPr>
    </w:p>
    <w:p w14:paraId="55DED058" w14:textId="6CBA88E5" w:rsidR="00EE77EF" w:rsidRPr="008010DB" w:rsidRDefault="00317500" w:rsidP="008D693F">
      <w:pPr>
        <w:pStyle w:val="BodyText"/>
        <w:jc w:val="both"/>
      </w:pPr>
      <w:r w:rsidRPr="008010DB">
        <w:t>The</w:t>
      </w:r>
      <w:r w:rsidRPr="008010DB">
        <w:rPr>
          <w:spacing w:val="-2"/>
        </w:rPr>
        <w:t xml:space="preserve"> </w:t>
      </w:r>
      <w:r w:rsidRPr="008010DB">
        <w:t>above</w:t>
      </w:r>
      <w:r w:rsidRPr="008010DB">
        <w:rPr>
          <w:spacing w:val="-3"/>
        </w:rPr>
        <w:t xml:space="preserve"> </w:t>
      </w:r>
      <w:r w:rsidRPr="008010DB">
        <w:t>legal</w:t>
      </w:r>
      <w:r w:rsidRPr="008010DB">
        <w:rPr>
          <w:spacing w:val="-3"/>
        </w:rPr>
        <w:t xml:space="preserve"> </w:t>
      </w:r>
      <w:r w:rsidRPr="008010DB">
        <w:t>basis</w:t>
      </w:r>
      <w:r w:rsidRPr="008010DB">
        <w:rPr>
          <w:spacing w:val="-2"/>
        </w:rPr>
        <w:t xml:space="preserve"> </w:t>
      </w:r>
      <w:r w:rsidRPr="008010DB">
        <w:t>is</w:t>
      </w:r>
      <w:r w:rsidRPr="008010DB">
        <w:rPr>
          <w:spacing w:val="-2"/>
        </w:rPr>
        <w:t xml:space="preserve"> </w:t>
      </w:r>
      <w:r w:rsidRPr="008010DB">
        <w:t>not</w:t>
      </w:r>
      <w:r w:rsidRPr="008010DB">
        <w:rPr>
          <w:spacing w:val="-3"/>
        </w:rPr>
        <w:t xml:space="preserve"> </w:t>
      </w:r>
      <w:r w:rsidRPr="008010DB">
        <w:t>suitable</w:t>
      </w:r>
      <w:r w:rsidRPr="008010DB">
        <w:rPr>
          <w:spacing w:val="-3"/>
        </w:rPr>
        <w:t xml:space="preserve"> </w:t>
      </w:r>
      <w:r w:rsidRPr="008010DB">
        <w:t>in</w:t>
      </w:r>
      <w:r w:rsidRPr="008010DB">
        <w:rPr>
          <w:spacing w:val="-4"/>
        </w:rPr>
        <w:t xml:space="preserve"> </w:t>
      </w:r>
      <w:r w:rsidRPr="008010DB">
        <w:t>all</w:t>
      </w:r>
      <w:r w:rsidRPr="008010DB">
        <w:rPr>
          <w:spacing w:val="-3"/>
        </w:rPr>
        <w:t xml:space="preserve"> </w:t>
      </w:r>
      <w:r w:rsidRPr="008010DB">
        <w:t>instances,</w:t>
      </w:r>
      <w:r w:rsidRPr="008010DB">
        <w:rPr>
          <w:spacing w:val="-3"/>
        </w:rPr>
        <w:t xml:space="preserve"> </w:t>
      </w:r>
      <w:r w:rsidRPr="008010DB">
        <w:t>in</w:t>
      </w:r>
      <w:r w:rsidRPr="008010DB">
        <w:rPr>
          <w:spacing w:val="-3"/>
        </w:rPr>
        <w:t xml:space="preserve"> </w:t>
      </w:r>
      <w:r w:rsidRPr="008010DB">
        <w:t>particular,</w:t>
      </w:r>
      <w:r w:rsidRPr="008010DB">
        <w:rPr>
          <w:spacing w:val="-3"/>
        </w:rPr>
        <w:t xml:space="preserve"> </w:t>
      </w:r>
      <w:r w:rsidRPr="008010DB">
        <w:t>users</w:t>
      </w:r>
      <w:r w:rsidRPr="008010DB">
        <w:rPr>
          <w:spacing w:val="-2"/>
        </w:rPr>
        <w:t xml:space="preserve"> </w:t>
      </w:r>
      <w:r w:rsidRPr="008010DB">
        <w:t>of</w:t>
      </w:r>
      <w:r w:rsidRPr="008010DB">
        <w:rPr>
          <w:spacing w:val="-3"/>
        </w:rPr>
        <w:t xml:space="preserve"> </w:t>
      </w:r>
      <w:r w:rsidRPr="008010DB">
        <w:t>this</w:t>
      </w:r>
      <w:r w:rsidRPr="008010DB">
        <w:rPr>
          <w:spacing w:val="-2"/>
        </w:rPr>
        <w:t xml:space="preserve"> </w:t>
      </w:r>
      <w:r w:rsidRPr="008010DB">
        <w:t>information</w:t>
      </w:r>
      <w:r w:rsidRPr="008010DB">
        <w:rPr>
          <w:spacing w:val="-2"/>
        </w:rPr>
        <w:t xml:space="preserve"> </w:t>
      </w:r>
      <w:r w:rsidRPr="008010DB">
        <w:t>should note that commercially funded research would not necessarily be in the “public interest” and may require an alternative legal basis.</w:t>
      </w:r>
      <w:r w:rsidR="00EE77EF" w:rsidRPr="008010DB">
        <w:t xml:space="preserve"> Where feasible Joint Data Controllers should consider whether it is possible to use the same legal basis.</w:t>
      </w:r>
    </w:p>
    <w:p w14:paraId="031360EC" w14:textId="77777777" w:rsidR="001E78F5" w:rsidRPr="008010DB" w:rsidRDefault="001E78F5" w:rsidP="00CF1762">
      <w:pPr>
        <w:pStyle w:val="BodyText"/>
      </w:pPr>
    </w:p>
    <w:p w14:paraId="5565C971" w14:textId="1BDC65CA" w:rsidR="00235327" w:rsidRDefault="00EE77EF" w:rsidP="00CF1762">
      <w:pPr>
        <w:pStyle w:val="BodyText"/>
        <w:rPr>
          <w:b/>
          <w:bCs/>
        </w:rPr>
      </w:pPr>
      <w:r w:rsidRPr="008010DB">
        <w:rPr>
          <w:b/>
          <w:bCs/>
        </w:rPr>
        <w:t>What about Consent?</w:t>
      </w:r>
    </w:p>
    <w:p w14:paraId="29FAA9B0" w14:textId="77777777" w:rsidR="00C81C94" w:rsidRPr="008010DB" w:rsidRDefault="00C81C94" w:rsidP="00CF1762">
      <w:pPr>
        <w:pStyle w:val="BodyText"/>
        <w:rPr>
          <w:b/>
          <w:bCs/>
        </w:rPr>
      </w:pPr>
    </w:p>
    <w:p w14:paraId="04CD0863" w14:textId="77777777" w:rsidR="00235327" w:rsidRDefault="00235327" w:rsidP="00CF1762">
      <w:pPr>
        <w:pStyle w:val="BodyText"/>
        <w:jc w:val="both"/>
      </w:pPr>
      <w:r w:rsidRPr="008010DB">
        <w:t>The legal basis is also separate to the “suitable and specific safeguard” of consent required by the Health</w:t>
      </w:r>
      <w:r w:rsidRPr="008010DB">
        <w:rPr>
          <w:spacing w:val="-12"/>
        </w:rPr>
        <w:t xml:space="preserve"> </w:t>
      </w:r>
      <w:r w:rsidRPr="008010DB">
        <w:t>Research</w:t>
      </w:r>
      <w:r w:rsidRPr="008010DB">
        <w:rPr>
          <w:spacing w:val="-11"/>
        </w:rPr>
        <w:t xml:space="preserve"> </w:t>
      </w:r>
      <w:r w:rsidRPr="008010DB">
        <w:t>Regulations</w:t>
      </w:r>
      <w:r w:rsidRPr="008010DB">
        <w:rPr>
          <w:spacing w:val="-11"/>
        </w:rPr>
        <w:t xml:space="preserve"> </w:t>
      </w:r>
      <w:r w:rsidRPr="008010DB">
        <w:t>2018</w:t>
      </w:r>
      <w:r w:rsidRPr="008010DB">
        <w:rPr>
          <w:spacing w:val="-11"/>
        </w:rPr>
        <w:t xml:space="preserve"> </w:t>
      </w:r>
      <w:r w:rsidRPr="008010DB">
        <w:t>(as</w:t>
      </w:r>
      <w:r w:rsidRPr="008010DB">
        <w:rPr>
          <w:spacing w:val="-11"/>
        </w:rPr>
        <w:t xml:space="preserve"> </w:t>
      </w:r>
      <w:r w:rsidRPr="008010DB">
        <w:t>amended).</w:t>
      </w:r>
      <w:r w:rsidRPr="008010DB">
        <w:rPr>
          <w:spacing w:val="-11"/>
        </w:rPr>
        <w:t xml:space="preserve"> </w:t>
      </w:r>
      <w:proofErr w:type="gramStart"/>
      <w:r w:rsidRPr="008010DB">
        <w:t>That</w:t>
      </w:r>
      <w:r w:rsidRPr="008010DB">
        <w:rPr>
          <w:spacing w:val="-11"/>
        </w:rPr>
        <w:t xml:space="preserve"> </w:t>
      </w:r>
      <w:r w:rsidRPr="008010DB">
        <w:t>is</w:t>
      </w:r>
      <w:r w:rsidRPr="008010DB">
        <w:rPr>
          <w:spacing w:val="-11"/>
        </w:rPr>
        <w:t xml:space="preserve"> </w:t>
      </w:r>
      <w:r w:rsidRPr="008010DB">
        <w:t>to</w:t>
      </w:r>
      <w:r w:rsidRPr="008010DB">
        <w:rPr>
          <w:spacing w:val="-11"/>
        </w:rPr>
        <w:t xml:space="preserve"> </w:t>
      </w:r>
      <w:r w:rsidRPr="008010DB">
        <w:t>say,</w:t>
      </w:r>
      <w:r w:rsidRPr="008010DB">
        <w:rPr>
          <w:spacing w:val="-11"/>
        </w:rPr>
        <w:t xml:space="preserve"> </w:t>
      </w:r>
      <w:r w:rsidRPr="008010DB">
        <w:t>that</w:t>
      </w:r>
      <w:proofErr w:type="gramEnd"/>
      <w:r w:rsidRPr="008010DB">
        <w:rPr>
          <w:spacing w:val="-11"/>
        </w:rPr>
        <w:t xml:space="preserve"> </w:t>
      </w:r>
      <w:r w:rsidRPr="008010DB">
        <w:t>even</w:t>
      </w:r>
      <w:r w:rsidRPr="008010DB">
        <w:rPr>
          <w:spacing w:val="-11"/>
        </w:rPr>
        <w:t xml:space="preserve"> </w:t>
      </w:r>
      <w:r w:rsidRPr="008010DB">
        <w:t>where</w:t>
      </w:r>
      <w:r w:rsidRPr="008010DB">
        <w:rPr>
          <w:spacing w:val="-11"/>
        </w:rPr>
        <w:t xml:space="preserve"> </w:t>
      </w:r>
      <w:r w:rsidRPr="008010DB">
        <w:t>the</w:t>
      </w:r>
      <w:r w:rsidRPr="008010DB">
        <w:rPr>
          <w:spacing w:val="-11"/>
        </w:rPr>
        <w:t xml:space="preserve"> </w:t>
      </w:r>
      <w:r w:rsidRPr="008010DB">
        <w:t>above</w:t>
      </w:r>
      <w:r w:rsidRPr="008010DB">
        <w:rPr>
          <w:spacing w:val="-11"/>
        </w:rPr>
        <w:t xml:space="preserve"> </w:t>
      </w:r>
      <w:r w:rsidRPr="008010DB">
        <w:t>legal</w:t>
      </w:r>
      <w:r w:rsidRPr="008010DB">
        <w:rPr>
          <w:spacing w:val="-11"/>
        </w:rPr>
        <w:t xml:space="preserve"> </w:t>
      </w:r>
      <w:r w:rsidRPr="008010DB">
        <w:t>basis is</w:t>
      </w:r>
      <w:r w:rsidRPr="008010DB">
        <w:rPr>
          <w:spacing w:val="-3"/>
        </w:rPr>
        <w:t xml:space="preserve"> </w:t>
      </w:r>
      <w:r w:rsidRPr="008010DB">
        <w:t>noted,</w:t>
      </w:r>
      <w:r w:rsidRPr="008010DB">
        <w:rPr>
          <w:spacing w:val="-3"/>
        </w:rPr>
        <w:t xml:space="preserve"> </w:t>
      </w:r>
      <w:r w:rsidRPr="008010DB">
        <w:t>the</w:t>
      </w:r>
      <w:r w:rsidRPr="008010DB">
        <w:rPr>
          <w:spacing w:val="-4"/>
        </w:rPr>
        <w:t xml:space="preserve"> </w:t>
      </w:r>
      <w:r w:rsidRPr="008010DB">
        <w:t>parties</w:t>
      </w:r>
      <w:r w:rsidRPr="008010DB">
        <w:rPr>
          <w:spacing w:val="-3"/>
        </w:rPr>
        <w:t xml:space="preserve"> </w:t>
      </w:r>
      <w:r w:rsidRPr="008010DB">
        <w:t>will</w:t>
      </w:r>
      <w:r w:rsidRPr="008010DB">
        <w:rPr>
          <w:spacing w:val="-4"/>
        </w:rPr>
        <w:t xml:space="preserve"> </w:t>
      </w:r>
      <w:r w:rsidRPr="008010DB">
        <w:t>require</w:t>
      </w:r>
      <w:r w:rsidRPr="008010DB">
        <w:rPr>
          <w:spacing w:val="-4"/>
        </w:rPr>
        <w:t xml:space="preserve"> </w:t>
      </w:r>
      <w:r w:rsidRPr="008010DB">
        <w:t>consent</w:t>
      </w:r>
      <w:r w:rsidRPr="008010DB">
        <w:rPr>
          <w:spacing w:val="-5"/>
        </w:rPr>
        <w:t xml:space="preserve"> </w:t>
      </w:r>
      <w:r w:rsidRPr="008010DB">
        <w:t>as</w:t>
      </w:r>
      <w:r w:rsidRPr="008010DB">
        <w:rPr>
          <w:spacing w:val="-3"/>
        </w:rPr>
        <w:t xml:space="preserve"> </w:t>
      </w:r>
      <w:r w:rsidRPr="008010DB">
        <w:t>a</w:t>
      </w:r>
      <w:r w:rsidRPr="008010DB">
        <w:rPr>
          <w:spacing w:val="-4"/>
        </w:rPr>
        <w:t xml:space="preserve"> </w:t>
      </w:r>
      <w:r w:rsidRPr="008010DB">
        <w:t>suitable</w:t>
      </w:r>
      <w:r w:rsidRPr="008010DB">
        <w:rPr>
          <w:spacing w:val="-4"/>
        </w:rPr>
        <w:t xml:space="preserve"> </w:t>
      </w:r>
      <w:r w:rsidRPr="008010DB">
        <w:t>and</w:t>
      </w:r>
      <w:r w:rsidRPr="008010DB">
        <w:rPr>
          <w:spacing w:val="-3"/>
        </w:rPr>
        <w:t xml:space="preserve"> </w:t>
      </w:r>
      <w:r w:rsidRPr="008010DB">
        <w:t>specific</w:t>
      </w:r>
      <w:r w:rsidRPr="008010DB">
        <w:rPr>
          <w:spacing w:val="-4"/>
        </w:rPr>
        <w:t xml:space="preserve"> </w:t>
      </w:r>
      <w:r w:rsidRPr="008010DB">
        <w:t>safeguard</w:t>
      </w:r>
      <w:r w:rsidRPr="008010DB">
        <w:rPr>
          <w:spacing w:val="-3"/>
        </w:rPr>
        <w:t xml:space="preserve"> </w:t>
      </w:r>
      <w:r w:rsidRPr="008010DB">
        <w:t>for</w:t>
      </w:r>
      <w:r w:rsidRPr="008010DB">
        <w:rPr>
          <w:spacing w:val="-4"/>
        </w:rPr>
        <w:t xml:space="preserve"> </w:t>
      </w:r>
      <w:r w:rsidRPr="008010DB">
        <w:t>the</w:t>
      </w:r>
      <w:r w:rsidRPr="008010DB">
        <w:rPr>
          <w:spacing w:val="-3"/>
        </w:rPr>
        <w:t xml:space="preserve"> </w:t>
      </w:r>
      <w:r w:rsidRPr="008010DB">
        <w:t>data</w:t>
      </w:r>
      <w:r w:rsidRPr="008010DB">
        <w:rPr>
          <w:spacing w:val="-3"/>
        </w:rPr>
        <w:t xml:space="preserve"> </w:t>
      </w:r>
      <w:r w:rsidRPr="008010DB">
        <w:t>processing</w:t>
      </w:r>
      <w:r w:rsidRPr="008010DB">
        <w:rPr>
          <w:spacing w:val="-3"/>
        </w:rPr>
        <w:t xml:space="preserve"> </w:t>
      </w:r>
      <w:r w:rsidRPr="008010DB">
        <w:t>in health research. In any event consent is needed for compliance with CTR and ethical requirements</w:t>
      </w:r>
      <w:r>
        <w:rPr>
          <w:color w:val="1F1F1E"/>
        </w:rPr>
        <w:t>.</w:t>
      </w:r>
    </w:p>
    <w:p w14:paraId="07998722" w14:textId="77777777" w:rsidR="00DE371D" w:rsidRDefault="00DE371D" w:rsidP="00CF1762">
      <w:pPr>
        <w:pStyle w:val="BodyText"/>
        <w:rPr>
          <w:sz w:val="11"/>
        </w:rPr>
      </w:pPr>
    </w:p>
    <w:p w14:paraId="07998724" w14:textId="34C65C11" w:rsidR="00DE371D" w:rsidRDefault="00317500" w:rsidP="00857E0F">
      <w:pPr>
        <w:pStyle w:val="BodyText"/>
        <w:jc w:val="both"/>
      </w:pPr>
      <w:r>
        <w:t>We</w:t>
      </w:r>
      <w:r>
        <w:rPr>
          <w:spacing w:val="-10"/>
        </w:rPr>
        <w:t xml:space="preserve"> </w:t>
      </w:r>
      <w:r>
        <w:t>hope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helpful,</w:t>
      </w:r>
      <w:r>
        <w:rPr>
          <w:spacing w:val="-10"/>
        </w:rPr>
        <w:t xml:space="preserve"> </w:t>
      </w:r>
      <w:r>
        <w:t>however</w:t>
      </w:r>
      <w:r>
        <w:rPr>
          <w:spacing w:val="-9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note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guidance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 xml:space="preserve">have specific questions you should refer same to </w:t>
      </w:r>
      <w:hyperlink r:id="rId13" w:history="1">
        <w:r w:rsidRPr="00BF3DF3">
          <w:rPr>
            <w:rStyle w:val="Hyperlink"/>
            <w:u w:color="0000FF"/>
          </w:rPr>
          <w:t>dataprotection@universityofgalway.ie</w:t>
        </w:r>
      </w:hyperlink>
      <w:r w:rsidR="00824025">
        <w:rPr>
          <w:color w:val="0000FF"/>
          <w:u w:val="single" w:color="0000FF"/>
        </w:rPr>
        <w:t>.</w:t>
      </w:r>
      <w:r>
        <w:rPr>
          <w:color w:val="0000FF"/>
        </w:rPr>
        <w:t xml:space="preserve"> </w:t>
      </w:r>
      <w:proofErr w:type="gramStart"/>
      <w:r>
        <w:t>Additionally</w:t>
      </w:r>
      <w:proofErr w:type="gramEnd"/>
      <w:r>
        <w:t xml:space="preserve"> further general information on data protection is available on our website at: </w:t>
      </w:r>
      <w:hyperlink r:id="rId14" w:history="1">
        <w:r w:rsidR="00857E0F" w:rsidRPr="00857E0F">
          <w:rPr>
            <w:rStyle w:val="Hyperlink"/>
          </w:rPr>
          <w:t>https://www.universityofgalway.ie/data-protection/.</w:t>
        </w:r>
      </w:hyperlink>
    </w:p>
    <w:p w14:paraId="07998725" w14:textId="77777777" w:rsidR="00DE371D" w:rsidRDefault="00DE371D" w:rsidP="00CF1762">
      <w:pPr>
        <w:pStyle w:val="BodyText"/>
      </w:pPr>
    </w:p>
    <w:p w14:paraId="0799872A" w14:textId="77777777" w:rsidR="00DE371D" w:rsidRDefault="00DE371D" w:rsidP="00CF1762">
      <w:pPr>
        <w:pStyle w:val="BodyText"/>
      </w:pPr>
    </w:p>
    <w:p w14:paraId="0799872B" w14:textId="77777777" w:rsidR="00DE371D" w:rsidRDefault="00DE371D" w:rsidP="00CF1762">
      <w:pPr>
        <w:pStyle w:val="BodyText"/>
      </w:pPr>
    </w:p>
    <w:p w14:paraId="0799872C" w14:textId="77777777" w:rsidR="00DE371D" w:rsidRDefault="00DE371D" w:rsidP="00CF1762">
      <w:pPr>
        <w:pStyle w:val="BodyText"/>
        <w:rPr>
          <w:sz w:val="21"/>
        </w:rPr>
      </w:pPr>
    </w:p>
    <w:sectPr w:rsidR="00DE371D">
      <w:headerReference w:type="default" r:id="rId15"/>
      <w:footerReference w:type="default" r:id="rId16"/>
      <w:type w:val="continuous"/>
      <w:pgSz w:w="11910" w:h="16840"/>
      <w:pgMar w:top="680" w:right="12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FE8" w14:textId="77777777" w:rsidR="00353800" w:rsidRDefault="00353800" w:rsidP="00F550F0">
      <w:r>
        <w:separator/>
      </w:r>
    </w:p>
  </w:endnote>
  <w:endnote w:type="continuationSeparator" w:id="0">
    <w:p w14:paraId="345F41F5" w14:textId="77777777" w:rsidR="00353800" w:rsidRDefault="00353800" w:rsidP="00F5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D3DF" w14:textId="5E8FEBEA" w:rsidR="00D03CB1" w:rsidRPr="00317500" w:rsidRDefault="00D03CB1" w:rsidP="00D03CB1">
    <w:pPr>
      <w:pStyle w:val="BodyText"/>
      <w:tabs>
        <w:tab w:val="left" w:pos="2961"/>
      </w:tabs>
      <w:rPr>
        <w:rFonts w:ascii="Calibri"/>
        <w:color w:val="660033"/>
        <w:spacing w:val="-2"/>
      </w:rPr>
    </w:pPr>
    <w:r>
      <w:rPr>
        <w:rFonts w:ascii="Calibri"/>
        <w:color w:val="660033"/>
      </w:rPr>
      <w:t>Data</w:t>
    </w:r>
    <w:r>
      <w:rPr>
        <w:rFonts w:ascii="Calibri"/>
        <w:color w:val="660033"/>
        <w:spacing w:val="-5"/>
      </w:rPr>
      <w:t xml:space="preserve"> </w:t>
    </w:r>
    <w:r>
      <w:rPr>
        <w:rFonts w:ascii="Calibri"/>
        <w:color w:val="660033"/>
      </w:rPr>
      <w:t>Protection</w:t>
    </w:r>
    <w:r>
      <w:rPr>
        <w:rFonts w:ascii="Calibri"/>
        <w:color w:val="660033"/>
        <w:spacing w:val="-5"/>
      </w:rPr>
      <w:t xml:space="preserve"> </w:t>
    </w:r>
    <w:r>
      <w:rPr>
        <w:rFonts w:ascii="Calibri"/>
        <w:color w:val="660033"/>
      </w:rPr>
      <w:t>Version</w:t>
    </w:r>
    <w:r>
      <w:rPr>
        <w:rFonts w:ascii="Calibri"/>
        <w:color w:val="660033"/>
        <w:spacing w:val="-6"/>
      </w:rPr>
      <w:t xml:space="preserve"> </w:t>
    </w:r>
    <w:r>
      <w:rPr>
        <w:rFonts w:ascii="Calibri"/>
        <w:color w:val="660033"/>
      </w:rPr>
      <w:t>1.</w:t>
    </w:r>
    <w:r w:rsidR="00126E1E">
      <w:rPr>
        <w:rFonts w:ascii="Calibri"/>
        <w:color w:val="660033"/>
      </w:rPr>
      <w:t>4</w:t>
    </w:r>
    <w:r>
      <w:rPr>
        <w:rFonts w:ascii="Calibri"/>
        <w:color w:val="660033"/>
        <w:spacing w:val="-2"/>
      </w:rPr>
      <w:t xml:space="preserve"> </w:t>
    </w:r>
    <w:r>
      <w:rPr>
        <w:rFonts w:ascii="Calibri"/>
        <w:color w:val="660033"/>
        <w:spacing w:val="-10"/>
      </w:rPr>
      <w:t>|</w:t>
    </w:r>
    <w:r>
      <w:rPr>
        <w:rFonts w:ascii="Calibri"/>
        <w:color w:val="660033"/>
      </w:rPr>
      <w:tab/>
    </w:r>
    <w:r>
      <w:rPr>
        <w:rFonts w:ascii="Calibri"/>
        <w:color w:val="660033"/>
      </w:rPr>
      <w:tab/>
    </w:r>
    <w:r>
      <w:rPr>
        <w:rFonts w:ascii="Calibri"/>
        <w:color w:val="660033"/>
      </w:rPr>
      <w:tab/>
    </w:r>
    <w:r>
      <w:rPr>
        <w:rFonts w:ascii="Calibri"/>
        <w:color w:val="660033"/>
      </w:rPr>
      <w:tab/>
    </w:r>
    <w:r>
      <w:rPr>
        <w:rFonts w:ascii="Calibri"/>
        <w:color w:val="660033"/>
      </w:rPr>
      <w:tab/>
    </w:r>
    <w:r>
      <w:rPr>
        <w:rFonts w:ascii="Calibri"/>
        <w:color w:val="660033"/>
      </w:rPr>
      <w:tab/>
    </w:r>
    <w:r>
      <w:rPr>
        <w:rFonts w:ascii="Calibri"/>
        <w:color w:val="660033"/>
      </w:rPr>
      <w:tab/>
      <w:t xml:space="preserve">UNIVERSITY OF </w:t>
    </w:r>
    <w:r>
      <w:rPr>
        <w:rFonts w:ascii="Calibri"/>
        <w:color w:val="660033"/>
        <w:spacing w:val="-2"/>
      </w:rPr>
      <w:t>GALWAY</w:t>
    </w:r>
  </w:p>
  <w:p w14:paraId="7F12B3CA" w14:textId="77777777" w:rsidR="00D03CB1" w:rsidRDefault="00D0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BB2E" w14:textId="77777777" w:rsidR="00353800" w:rsidRDefault="00353800" w:rsidP="00F550F0">
      <w:r>
        <w:separator/>
      </w:r>
    </w:p>
  </w:footnote>
  <w:footnote w:type="continuationSeparator" w:id="0">
    <w:p w14:paraId="7918E3A1" w14:textId="77777777" w:rsidR="00353800" w:rsidRDefault="00353800" w:rsidP="00F5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0EF1" w14:textId="4CBF32E6" w:rsidR="00F550F0" w:rsidRDefault="00F550F0" w:rsidP="00F550F0">
    <w:pPr>
      <w:pStyle w:val="Header"/>
    </w:pPr>
    <w:r w:rsidRPr="00824025">
      <w:rPr>
        <w:rFonts w:ascii="Calibri"/>
        <w:noProof/>
        <w:lang w:val="en-IE" w:eastAsia="en-IE"/>
      </w:rPr>
      <w:drawing>
        <wp:inline distT="0" distB="0" distL="0" distR="0" wp14:anchorId="21484142" wp14:editId="61BFD4C2">
          <wp:extent cx="1500554" cy="534670"/>
          <wp:effectExtent l="0" t="0" r="4445" b="0"/>
          <wp:docPr id="7" name="Picture 7" descr="C:\Users\0119738s\AppData\Local\Microsoft\Windows\INetCache\Content.Outlook\071FVPI3\University_Of_Galway_Logo__Positive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119738s\AppData\Local\Microsoft\Windows\INetCache\Content.Outlook\071FVPI3\University_Of_Galway_Logo__Positive_Landsca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316" cy="53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50F0">
      <w:rPr>
        <w:rFonts w:ascii="Times New Roman"/>
        <w:b/>
        <w:color w:val="69075A"/>
        <w:sz w:val="20"/>
      </w:rPr>
      <w:t xml:space="preserve"> </w:t>
    </w:r>
    <w:r w:rsidR="000D177D">
      <w:rPr>
        <w:rFonts w:ascii="Times New Roman"/>
        <w:b/>
        <w:color w:val="69075A"/>
        <w:sz w:val="20"/>
      </w:rPr>
      <w:tab/>
    </w:r>
    <w:r w:rsidR="000D177D">
      <w:rPr>
        <w:rFonts w:ascii="Times New Roman"/>
        <w:b/>
        <w:color w:val="69075A"/>
        <w:sz w:val="20"/>
      </w:rPr>
      <w:tab/>
    </w:r>
    <w:r w:rsidRPr="00D03CB1">
      <w:rPr>
        <w:b/>
        <w:color w:val="970B36"/>
        <w:sz w:val="20"/>
      </w:rPr>
      <w:t>Data</w:t>
    </w:r>
    <w:r w:rsidRPr="00D03CB1">
      <w:rPr>
        <w:b/>
        <w:color w:val="970B36"/>
        <w:spacing w:val="-3"/>
        <w:sz w:val="20"/>
      </w:rPr>
      <w:t xml:space="preserve"> </w:t>
    </w:r>
    <w:r w:rsidRPr="00D03CB1">
      <w:rPr>
        <w:b/>
        <w:color w:val="970B36"/>
        <w:sz w:val="20"/>
      </w:rPr>
      <w:t>Protection</w:t>
    </w:r>
    <w:r w:rsidRPr="00D03CB1">
      <w:rPr>
        <w:b/>
        <w:color w:val="970B36"/>
        <w:spacing w:val="-2"/>
        <w:sz w:val="20"/>
      </w:rPr>
      <w:t xml:space="preserve">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1D"/>
    <w:rsid w:val="00052FB7"/>
    <w:rsid w:val="000D177D"/>
    <w:rsid w:val="000F1920"/>
    <w:rsid w:val="00104A2E"/>
    <w:rsid w:val="00126E1E"/>
    <w:rsid w:val="001E78F5"/>
    <w:rsid w:val="00235327"/>
    <w:rsid w:val="00317500"/>
    <w:rsid w:val="00353800"/>
    <w:rsid w:val="00382B09"/>
    <w:rsid w:val="003D0D2B"/>
    <w:rsid w:val="00424852"/>
    <w:rsid w:val="005B101C"/>
    <w:rsid w:val="005B1BD5"/>
    <w:rsid w:val="005B755D"/>
    <w:rsid w:val="006A2DF8"/>
    <w:rsid w:val="00746ADB"/>
    <w:rsid w:val="008010DB"/>
    <w:rsid w:val="00824025"/>
    <w:rsid w:val="00857E0F"/>
    <w:rsid w:val="008D693F"/>
    <w:rsid w:val="008F356B"/>
    <w:rsid w:val="00A349DD"/>
    <w:rsid w:val="00A40F4C"/>
    <w:rsid w:val="00A94970"/>
    <w:rsid w:val="00B1512D"/>
    <w:rsid w:val="00C81C94"/>
    <w:rsid w:val="00CF1762"/>
    <w:rsid w:val="00D03CB1"/>
    <w:rsid w:val="00D27065"/>
    <w:rsid w:val="00D465E1"/>
    <w:rsid w:val="00DE371D"/>
    <w:rsid w:val="00EE77EF"/>
    <w:rsid w:val="00F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8710"/>
  <w15:docId w15:val="{C29FF14D-0D17-40A3-BF10-B69325DF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10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4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5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5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0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5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0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taprotection@universityofgalway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ersityofgalway.ie/data-protection/research/healthresearc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dpr-info.eu/art-89-gdp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dpr-info.eu/art-89-gdp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universityofgalway.ie/data-prote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1" ma:contentTypeDescription="Create a new document." ma:contentTypeScope="" ma:versionID="4ef2adbf182feb7c3d11bf32e5dedc8b">
  <xsd:schema xmlns:xsd="http://www.w3.org/2001/XMLSchema" xmlns:xs="http://www.w3.org/2001/XMLSchema" xmlns:p="http://schemas.microsoft.com/office/2006/metadata/properties" xmlns:ns3="3114ee57-f8bf-496a-a709-41be1b5807d1" xmlns:ns4="f5f71b1f-2b02-4aa6-8f7a-c9f8915e2e2c" targetNamespace="http://schemas.microsoft.com/office/2006/metadata/properties" ma:root="true" ma:fieldsID="556f2f0d9658ebe090c646b43bfc14fb" ns3:_="" ns4:_="">
    <xsd:import namespace="3114ee57-f8bf-496a-a709-41be1b5807d1"/>
    <xsd:import namespace="f5f71b1f-2b02-4aa6-8f7a-c9f8915e2e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BD82B-54E8-489A-A5B1-D10A7A15A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BFEC8-D432-4053-822F-B7AC48FF5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4ee57-f8bf-496a-a709-41be1b5807d1"/>
    <ds:schemaRef ds:uri="f5f71b1f-2b02-4aa6-8f7a-c9f8915e2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1E402-AD53-42AF-ACCB-5E3755612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FB2809-4C9B-4CF6-9425-23B463A918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 Protection Version 1.2</dc:creator>
  <cp:lastModifiedBy>Drzazga, Maria</cp:lastModifiedBy>
  <cp:revision>11</cp:revision>
  <cp:lastPrinted>2023-03-29T15:08:00Z</cp:lastPrinted>
  <dcterms:created xsi:type="dcterms:W3CDTF">2025-11-12T11:29:00Z</dcterms:created>
  <dcterms:modified xsi:type="dcterms:W3CDTF">2025-11-12T11:33:00Z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0x010100439B1A7B896FE640A96C565215841AFE</vt:lpwstr>
  </property>
</Properties>
</file>